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0AB4FCE"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AD51F8">
        <w:rPr>
          <w:bCs/>
          <w:noProof w:val="0"/>
          <w:sz w:val="24"/>
          <w:szCs w:val="24"/>
        </w:rPr>
        <w:t>10655</w:t>
      </w:r>
    </w:p>
    <w:p w14:paraId="11776FA6" w14:textId="65C0CD3B" w:rsidR="00A209D6" w:rsidRPr="00465587" w:rsidRDefault="004E7553" w:rsidP="00A209D6">
      <w:pPr>
        <w:pStyle w:val="Header"/>
        <w:tabs>
          <w:tab w:val="right" w:pos="9639"/>
        </w:tabs>
        <w:rPr>
          <w:bCs/>
          <w:sz w:val="24"/>
          <w:szCs w:val="24"/>
          <w:lang w:eastAsia="zh-CN"/>
        </w:rPr>
      </w:pPr>
      <w:r>
        <w:rPr>
          <w:bCs/>
          <w:sz w:val="24"/>
          <w:szCs w:val="24"/>
          <w:lang w:eastAsia="zh-CN"/>
        </w:rPr>
        <w:t>Xiamen</w:t>
      </w:r>
      <w:r w:rsidR="00537809" w:rsidRPr="002240E0">
        <w:rPr>
          <w:bCs/>
          <w:sz w:val="24"/>
          <w:szCs w:val="24"/>
          <w:lang w:eastAsia="zh-CN"/>
        </w:rPr>
        <w:t xml:space="preserve">, </w:t>
      </w:r>
      <w:r>
        <w:rPr>
          <w:bCs/>
          <w:sz w:val="24"/>
          <w:szCs w:val="24"/>
          <w:lang w:eastAsia="zh-CN"/>
        </w:rPr>
        <w:t>China</w:t>
      </w:r>
      <w:r w:rsidR="00537809" w:rsidRPr="002240E0">
        <w:rPr>
          <w:bCs/>
          <w:sz w:val="24"/>
          <w:szCs w:val="24"/>
          <w:lang w:eastAsia="zh-CN"/>
        </w:rPr>
        <w:t xml:space="preserve">, </w:t>
      </w:r>
      <w:r>
        <w:rPr>
          <w:bCs/>
          <w:sz w:val="24"/>
          <w:szCs w:val="24"/>
          <w:lang w:eastAsia="zh-CN"/>
        </w:rPr>
        <w:t>09</w:t>
      </w:r>
      <w:r w:rsidR="0018542A">
        <w:rPr>
          <w:bCs/>
          <w:sz w:val="24"/>
          <w:szCs w:val="24"/>
          <w:lang w:eastAsia="zh-CN"/>
        </w:rPr>
        <w:t xml:space="preserve"> </w:t>
      </w:r>
      <w:r w:rsidR="00537809" w:rsidRPr="002240E0">
        <w:rPr>
          <w:bCs/>
          <w:sz w:val="24"/>
          <w:szCs w:val="24"/>
          <w:lang w:eastAsia="zh-CN"/>
        </w:rPr>
        <w:t xml:space="preserve">– </w:t>
      </w:r>
      <w:r>
        <w:rPr>
          <w:bCs/>
          <w:sz w:val="24"/>
          <w:szCs w:val="24"/>
          <w:lang w:eastAsia="zh-CN"/>
        </w:rPr>
        <w:t>13</w:t>
      </w:r>
      <w:r w:rsidR="00537809" w:rsidRPr="002240E0">
        <w:rPr>
          <w:bCs/>
          <w:sz w:val="24"/>
          <w:szCs w:val="24"/>
          <w:lang w:eastAsia="zh-CN"/>
        </w:rPr>
        <w:t xml:space="preserve"> </w:t>
      </w:r>
      <w:r>
        <w:rPr>
          <w:bCs/>
          <w:sz w:val="24"/>
          <w:szCs w:val="24"/>
          <w:lang w:eastAsia="zh-CN"/>
        </w:rPr>
        <w:t>October</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F9D8A0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70FE">
        <w:rPr>
          <w:rFonts w:cs="Arial"/>
          <w:b/>
          <w:bCs/>
          <w:sz w:val="24"/>
          <w:lang w:eastAsia="ja-JP"/>
        </w:rPr>
        <w:t>7</w:t>
      </w:r>
      <w:r>
        <w:rPr>
          <w:rFonts w:cs="Arial"/>
          <w:b/>
          <w:bCs/>
          <w:sz w:val="24"/>
          <w:lang w:eastAsia="ja-JP"/>
        </w:rPr>
        <w:t>.</w:t>
      </w:r>
      <w:r w:rsidR="002870FE">
        <w:rPr>
          <w:rFonts w:cs="Arial"/>
          <w:b/>
          <w:bCs/>
          <w:sz w:val="24"/>
          <w:lang w:eastAsia="ja-JP"/>
        </w:rPr>
        <w:t>14</w:t>
      </w:r>
      <w:r>
        <w:rPr>
          <w:rFonts w:cs="Arial"/>
          <w:b/>
          <w:bCs/>
          <w:sz w:val="24"/>
          <w:lang w:eastAsia="ja-JP"/>
        </w:rPr>
        <w:t>.</w:t>
      </w:r>
      <w:r w:rsidR="005C5F61">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AE70DF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C5F61">
        <w:rPr>
          <w:rFonts w:ascii="Arial" w:hAnsi="Arial" w:cs="Arial"/>
          <w:b/>
          <w:bCs/>
          <w:sz w:val="24"/>
        </w:rPr>
        <w:t xml:space="preserve">Remaining details on QoE </w:t>
      </w:r>
      <w:r w:rsidR="00FF30A5">
        <w:rPr>
          <w:rFonts w:ascii="Arial" w:hAnsi="Arial" w:cs="Arial"/>
          <w:b/>
          <w:bCs/>
          <w:sz w:val="24"/>
        </w:rPr>
        <w:t xml:space="preserve">support </w:t>
      </w:r>
      <w:r w:rsidR="005C5F61">
        <w:rPr>
          <w:rFonts w:ascii="Arial" w:hAnsi="Arial" w:cs="Arial"/>
          <w:b/>
          <w:bCs/>
          <w:sz w:val="24"/>
        </w:rPr>
        <w:t>in NR-DC</w:t>
      </w:r>
    </w:p>
    <w:p w14:paraId="25F387E8" w14:textId="31FBA52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06532">
        <w:rPr>
          <w:rFonts w:ascii="Arial" w:hAnsi="Arial" w:cs="Arial"/>
          <w:b/>
          <w:bCs/>
          <w:sz w:val="24"/>
        </w:rPr>
        <w:t>NR_QoE_enh-Core</w:t>
      </w:r>
      <w:r w:rsidR="00006532" w:rsidRPr="00112F1A">
        <w:rPr>
          <w:rFonts w:ascii="Arial" w:hAnsi="Arial" w:cs="Arial"/>
          <w:b/>
          <w:bCs/>
          <w:sz w:val="24"/>
        </w:rPr>
        <w:t xml:space="preserve"> </w:t>
      </w:r>
      <w:r w:rsidR="00006532" w:rsidRPr="2C1896C2">
        <w:rPr>
          <w:rFonts w:ascii="Arial" w:hAnsi="Arial" w:cs="Arial"/>
          <w:b/>
          <w:bCs/>
          <w:sz w:val="24"/>
          <w:szCs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52F4C83" w14:textId="7FADDA67" w:rsidR="00AE54B5" w:rsidRDefault="007E76C7" w:rsidP="00AE54B5">
      <w:r>
        <w:t>During ongoing Rel-18 discussions, RAN2 and RAN3 have developed generic framework for QoS support in DC. Besides agreed QoE configuration and reporting principles, there are several detailed aspects concerning QoE reports handling in exceptional circumstances, which we address in this contribution.</w:t>
      </w:r>
    </w:p>
    <w:p w14:paraId="7D484B6E" w14:textId="66CBC6FF" w:rsidR="009339CB" w:rsidRPr="006E13D1" w:rsidRDefault="009339CB" w:rsidP="009339CB">
      <w:pPr>
        <w:pStyle w:val="Heading1"/>
      </w:pPr>
      <w:r w:rsidRPr="006E13D1">
        <w:t>2</w:t>
      </w:r>
      <w:r w:rsidRPr="006E13D1">
        <w:tab/>
      </w:r>
      <w:r w:rsidR="006E6F2B">
        <w:t>Discussion</w:t>
      </w:r>
    </w:p>
    <w:p w14:paraId="5982B445" w14:textId="3798D201" w:rsidR="009339CB" w:rsidRDefault="009339CB" w:rsidP="009339CB">
      <w:pPr>
        <w:pStyle w:val="Heading2"/>
      </w:pPr>
      <w:r>
        <w:t>2</w:t>
      </w:r>
      <w:r w:rsidRPr="006E13D1">
        <w:t>.1</w:t>
      </w:r>
      <w:r w:rsidRPr="006E13D1">
        <w:tab/>
      </w:r>
      <w:r w:rsidR="00FF30A5">
        <w:t xml:space="preserve">QoE measurement reporting </w:t>
      </w:r>
      <w:r w:rsidR="00FF48CA">
        <w:t>leg</w:t>
      </w:r>
    </w:p>
    <w:p w14:paraId="43DCF1D7" w14:textId="2F4C660E" w:rsidR="0022151B" w:rsidRDefault="007E76C7" w:rsidP="0022151B">
      <w:r>
        <w:t>Within the developed framework for QoE in DC, for direct transfer of QoE configuration and reporting to the Secondary Node</w:t>
      </w:r>
      <w:r w:rsidR="005822A9">
        <w:t xml:space="preserve"> (SN)</w:t>
      </w:r>
      <w:r>
        <w:t xml:space="preserve">, </w:t>
      </w:r>
      <w:r>
        <w:rPr>
          <w:lang w:val="en-US"/>
        </w:rPr>
        <w:t xml:space="preserve">RAN2 agreed to use SRB3 and new SRB5, respectively. </w:t>
      </w:r>
      <w:r w:rsidR="0022151B">
        <w:rPr>
          <w:lang w:val="en-US"/>
        </w:rPr>
        <w:t>Though, t</w:t>
      </w:r>
      <w:r w:rsidR="0022151B">
        <w:t xml:space="preserve">his is </w:t>
      </w:r>
      <w:r w:rsidR="005822A9">
        <w:t xml:space="preserve">also </w:t>
      </w:r>
      <w:r w:rsidR="0022151B">
        <w:t>possible to pass the SN configuration through Master Node (MN). In such scenario, for the QoE configuration</w:t>
      </w:r>
      <w:r w:rsidR="005822A9">
        <w:t xml:space="preserve"> </w:t>
      </w:r>
      <w:r w:rsidR="0022151B">
        <w:t xml:space="preserve">generated by </w:t>
      </w:r>
      <w:r w:rsidR="005822A9">
        <w:t xml:space="preserve">the </w:t>
      </w:r>
      <w:r w:rsidR="0022151B">
        <w:t xml:space="preserve">SN but delivered by </w:t>
      </w:r>
      <w:r w:rsidR="005822A9">
        <w:t xml:space="preserve">the </w:t>
      </w:r>
      <w:r w:rsidR="0022151B">
        <w:t>MN, the SN originates the configuration, but asks MN to configure the UE</w:t>
      </w:r>
      <w:r w:rsidR="00FF48CA">
        <w:t>. I</w:t>
      </w:r>
      <w:r w:rsidR="0022151B">
        <w:t xml:space="preserve">n result the SN can remain the consumer of the QoE reports (if it asks MN to configure the UE for reporting directly to SN). To </w:t>
      </w:r>
      <w:r w:rsidR="00FF48CA">
        <w:t>support such flexible handling of</w:t>
      </w:r>
      <w:r w:rsidR="0022151B">
        <w:t xml:space="preserve"> QoE reports, RAN2 agreed that: </w:t>
      </w:r>
    </w:p>
    <w:p w14:paraId="611D7458" w14:textId="2F4E8CEF" w:rsidR="0022151B" w:rsidRPr="005822A9" w:rsidRDefault="0022151B" w:rsidP="00FF48CA">
      <w:pPr>
        <w:pBdr>
          <w:top w:val="single" w:sz="4" w:space="1" w:color="auto"/>
          <w:left w:val="single" w:sz="4" w:space="0" w:color="auto"/>
          <w:bottom w:val="single" w:sz="4" w:space="1" w:color="auto"/>
          <w:right w:val="single" w:sz="4" w:space="4" w:color="auto"/>
        </w:pBdr>
      </w:pPr>
      <w:r w:rsidRPr="005822A9">
        <w:t>In Rel-18, network always configures SRB usage for each QoE reporting explicitly. ​</w:t>
      </w:r>
    </w:p>
    <w:p w14:paraId="348C9E0B" w14:textId="6A723672" w:rsidR="0022151B" w:rsidRPr="005822A9" w:rsidRDefault="0022151B" w:rsidP="0022151B">
      <w:r w:rsidRPr="005822A9">
        <w:t>In addition, a valid use case in NR-DC, identified by RAN3</w:t>
      </w:r>
      <w:r w:rsidR="00FF48CA">
        <w:t>,</w:t>
      </w:r>
      <w:r w:rsidRPr="005822A9">
        <w:t xml:space="preserve"> and summarized in RAN3 LS</w:t>
      </w:r>
      <w:r w:rsidR="00FF48CA">
        <w:t xml:space="preserve"> </w:t>
      </w:r>
      <w:hyperlink r:id="rId7" w:history="1">
        <w:r w:rsidR="00FF48CA" w:rsidRPr="00FF48CA">
          <w:rPr>
            <w:rStyle w:val="Hyperlink"/>
          </w:rPr>
          <w:t>R3-234750</w:t>
        </w:r>
      </w:hyperlink>
      <w:r w:rsidR="00FF48CA">
        <w:t>,</w:t>
      </w:r>
      <w:r w:rsidRPr="005822A9">
        <w:t xml:space="preserve"> is that: </w:t>
      </w:r>
    </w:p>
    <w:p w14:paraId="0E7B2888" w14:textId="0924592E" w:rsidR="0022151B" w:rsidRPr="00E1529D" w:rsidRDefault="0022151B" w:rsidP="00FF48CA">
      <w:pPr>
        <w:pBdr>
          <w:top w:val="single" w:sz="4" w:space="1" w:color="auto"/>
          <w:left w:val="single" w:sz="4" w:space="0" w:color="auto"/>
          <w:bottom w:val="single" w:sz="4" w:space="1" w:color="auto"/>
          <w:right w:val="single" w:sz="4" w:space="4" w:color="auto"/>
        </w:pBdr>
        <w:rPr>
          <w:i/>
          <w:iCs/>
        </w:rPr>
      </w:pPr>
      <w:r w:rsidRPr="00E1529D">
        <w:rPr>
          <w:i/>
          <w:iCs/>
        </w:rPr>
        <w:t>For s-based QoE configuration received by MN, MN can send the QoE configuration via SRB1, while QoE reports can be sent via SRB4 or SRB5.</w:t>
      </w:r>
    </w:p>
    <w:p w14:paraId="045FE5D7" w14:textId="61B39679" w:rsidR="00FF48CA" w:rsidRDefault="00FF48CA" w:rsidP="005822A9">
      <w:r w:rsidRPr="00CF3F9E">
        <w:rPr>
          <w:b/>
          <w:bCs/>
        </w:rPr>
        <w:t>Observation 1</w:t>
      </w:r>
      <w:r w:rsidRPr="00E4524B">
        <w:rPr>
          <w:b/>
          <w:bCs/>
        </w:rPr>
        <w:t>: QoE configuration should enable explicit indication of SRB4 and SRB5 for reporting</w:t>
      </w:r>
      <w:r w:rsidR="00BF109E" w:rsidRPr="00E4524B">
        <w:rPr>
          <w:b/>
          <w:bCs/>
        </w:rPr>
        <w:t>, even though configured by a single node (MN or SN)</w:t>
      </w:r>
      <w:r w:rsidR="00CF3F9E" w:rsidRPr="00E4524B">
        <w:rPr>
          <w:b/>
          <w:bCs/>
        </w:rPr>
        <w:t>.</w:t>
      </w:r>
    </w:p>
    <w:p w14:paraId="14782508" w14:textId="0F9FE6A4" w:rsidR="00FF48CA" w:rsidRDefault="0022151B" w:rsidP="005822A9">
      <w:r w:rsidRPr="005822A9">
        <w:t xml:space="preserve">To </w:t>
      </w:r>
      <w:r w:rsidR="00FF48CA">
        <w:t>facilitate</w:t>
      </w:r>
      <w:r w:rsidRPr="005822A9">
        <w:t xml:space="preserve"> the</w:t>
      </w:r>
      <w:r w:rsidR="00FF48CA">
        <w:t xml:space="preserve"> </w:t>
      </w:r>
      <w:r w:rsidRPr="005822A9">
        <w:t>use case</w:t>
      </w:r>
      <w:r w:rsidR="00FF48CA">
        <w:t xml:space="preserve"> realization, </w:t>
      </w:r>
      <w:r w:rsidRPr="005822A9">
        <w:t xml:space="preserve">RAN3 </w:t>
      </w:r>
      <w:r w:rsidR="00FF48CA">
        <w:t xml:space="preserve">further </w:t>
      </w:r>
      <w:r w:rsidRPr="005822A9">
        <w:t>agreed to</w:t>
      </w:r>
      <w:r w:rsidR="00FF48CA">
        <w:t>:</w:t>
      </w:r>
      <w:r w:rsidRPr="005822A9">
        <w:t xml:space="preserve"> </w:t>
      </w:r>
    </w:p>
    <w:p w14:paraId="023FFD75" w14:textId="603167B7" w:rsidR="0022151B" w:rsidRPr="00E1529D" w:rsidRDefault="0022151B" w:rsidP="00E1529D">
      <w:pPr>
        <w:rPr>
          <w:i/>
          <w:iCs/>
        </w:rPr>
      </w:pPr>
      <w:r w:rsidRPr="00E1529D">
        <w:rPr>
          <w:i/>
          <w:iCs/>
          <w:bdr w:val="single" w:sz="4" w:space="0" w:color="auto"/>
        </w:rPr>
        <w:t>Define two different reporting leg indications for QoE and RVQoE.</w:t>
      </w:r>
    </w:p>
    <w:p w14:paraId="20F28E61" w14:textId="0C2F255A" w:rsidR="005822A9" w:rsidRDefault="005822A9" w:rsidP="005822A9">
      <w:r>
        <w:t>To support RAN3 agreements, RRC signalling needs to provide the capability to configure</w:t>
      </w:r>
      <w:r w:rsidR="0022151B">
        <w:t xml:space="preserve"> any QoE configuration </w:t>
      </w:r>
      <w:r>
        <w:t>with two reporting legs indication: one for container-based QoE, second for R</w:t>
      </w:r>
      <w:r w:rsidR="00FF48CA">
        <w:t xml:space="preserve">an-visible </w:t>
      </w:r>
      <w:r>
        <w:t>Qo</w:t>
      </w:r>
      <w:r w:rsidR="00FF48CA">
        <w:t>E</w:t>
      </w:r>
      <w:r>
        <w:t>:</w:t>
      </w:r>
    </w:p>
    <w:p w14:paraId="567131BB" w14:textId="390F29B0" w:rsidR="005822A9" w:rsidRPr="00BF109E" w:rsidRDefault="005822A9" w:rsidP="005822A9">
      <w:pPr>
        <w:rPr>
          <w:b/>
          <w:bCs/>
        </w:rPr>
      </w:pPr>
      <w:r w:rsidRPr="00BF109E">
        <w:rPr>
          <w:b/>
          <w:bCs/>
        </w:rPr>
        <w:t>Proposal 1: To support two different reporting leg indications</w:t>
      </w:r>
      <w:r w:rsidR="00CF3F9E" w:rsidRPr="00BF109E">
        <w:rPr>
          <w:b/>
          <w:bCs/>
        </w:rPr>
        <w:t xml:space="preserve"> for container-based QoE and RVQoE</w:t>
      </w:r>
      <w:r w:rsidRPr="00BF109E">
        <w:rPr>
          <w:b/>
          <w:bCs/>
        </w:rPr>
        <w:t xml:space="preserve">, </w:t>
      </w:r>
      <w:r w:rsidR="00171B08">
        <w:rPr>
          <w:b/>
          <w:bCs/>
        </w:rPr>
        <w:t>gNB</w:t>
      </w:r>
      <w:r w:rsidRPr="00BF109E">
        <w:rPr>
          <w:b/>
          <w:bCs/>
        </w:rPr>
        <w:t xml:space="preserve"> can explicitly indicate SRB for </w:t>
      </w:r>
      <w:r w:rsidR="00CF3F9E" w:rsidRPr="00BF109E">
        <w:rPr>
          <w:b/>
          <w:bCs/>
        </w:rPr>
        <w:t>reporting</w:t>
      </w:r>
      <w:r w:rsidRPr="00BF109E">
        <w:rPr>
          <w:b/>
          <w:bCs/>
        </w:rPr>
        <w:t xml:space="preserve"> for each </w:t>
      </w:r>
      <w:r w:rsidR="00CF3F9E" w:rsidRPr="00BF109E">
        <w:rPr>
          <w:b/>
          <w:bCs/>
        </w:rPr>
        <w:t xml:space="preserve">of the </w:t>
      </w:r>
      <w:r w:rsidRPr="00BF109E">
        <w:rPr>
          <w:b/>
          <w:bCs/>
        </w:rPr>
        <w:t>QoE configuration</w:t>
      </w:r>
      <w:r w:rsidR="00CF3F9E" w:rsidRPr="00BF109E">
        <w:rPr>
          <w:b/>
          <w:bCs/>
        </w:rPr>
        <w:t>s</w:t>
      </w:r>
      <w:r w:rsidR="00FF48CA" w:rsidRPr="00BF109E">
        <w:rPr>
          <w:b/>
          <w:bCs/>
        </w:rPr>
        <w:t>.</w:t>
      </w:r>
    </w:p>
    <w:p w14:paraId="7E1F385B" w14:textId="77777777" w:rsidR="00FF48CA" w:rsidRPr="005822A9" w:rsidRDefault="00FF48CA" w:rsidP="005822A9"/>
    <w:p w14:paraId="1174776D" w14:textId="77777777" w:rsidR="00CF3F9E" w:rsidRDefault="009339CB" w:rsidP="009339CB">
      <w:pPr>
        <w:pStyle w:val="Heading2"/>
      </w:pPr>
      <w:r>
        <w:t>2</w:t>
      </w:r>
      <w:r w:rsidRPr="006E13D1">
        <w:t>.2</w:t>
      </w:r>
      <w:r w:rsidRPr="006E13D1">
        <w:tab/>
      </w:r>
      <w:r w:rsidR="009D354B">
        <w:t xml:space="preserve">QoE </w:t>
      </w:r>
      <w:r w:rsidR="00FF30A5">
        <w:t xml:space="preserve">report storing </w:t>
      </w:r>
    </w:p>
    <w:p w14:paraId="25367B86" w14:textId="2F730F37" w:rsidR="00E1529D" w:rsidRDefault="00CF3F9E" w:rsidP="00CF3F9E">
      <w:pPr>
        <w:jc w:val="both"/>
      </w:pPr>
      <w:r>
        <w:t>At RAN2#123 meeting, RAN2 reached an agreement</w:t>
      </w:r>
      <w:r w:rsidR="00E1529D">
        <w:t xml:space="preserve"> to store QoE reports in an exceptional case when QoE has been configured in DC, but the configured SRB for reporting </w:t>
      </w:r>
      <w:r w:rsidR="00BF109E">
        <w:t>appears</w:t>
      </w:r>
      <w:r w:rsidR="00E1529D">
        <w:t xml:space="preserve"> unavailable. The agreed principle determines further that the UE should store the QoE report until the SRB is available or the QoE configuration is released.</w:t>
      </w:r>
    </w:p>
    <w:p w14:paraId="0DE155ED" w14:textId="77777777" w:rsidR="00E1529D" w:rsidRDefault="00E1529D" w:rsidP="00CF3F9E">
      <w:pPr>
        <w:jc w:val="both"/>
      </w:pPr>
    </w:p>
    <w:p w14:paraId="03F4CDC8" w14:textId="77777777" w:rsidR="00E3693D" w:rsidRDefault="00E3693D" w:rsidP="00CF3F9E">
      <w:pPr>
        <w:jc w:val="both"/>
      </w:pPr>
      <w:r>
        <w:lastRenderedPageBreak/>
        <w:t xml:space="preserve">The QoE reports storing due to SRB unavailability may result from an erroneous configuration form the network. I.e. in case the network configures QoE configuration with an SRB for reporting, it should ensure the SRB configuration, accordingly. Thus, with a proper network handling, the UE impacts might be significantly minimized. </w:t>
      </w:r>
    </w:p>
    <w:p w14:paraId="684F2249" w14:textId="3A348DA9" w:rsidR="00051E0A" w:rsidRDefault="00E3693D" w:rsidP="00CF3F9E">
      <w:pPr>
        <w:jc w:val="both"/>
      </w:pPr>
      <w:r>
        <w:t>However, t</w:t>
      </w:r>
      <w:r w:rsidR="00051E0A">
        <w:t xml:space="preserve">he </w:t>
      </w:r>
      <w:r>
        <w:t xml:space="preserve">agreed </w:t>
      </w:r>
      <w:r w:rsidR="00051E0A">
        <w:t>principle does not distinguish between container-based and R</w:t>
      </w:r>
      <w:r w:rsidR="00AD51F8">
        <w:t>AN</w:t>
      </w:r>
      <w:r w:rsidR="00051E0A">
        <w:t>-visible QoE, wh</w:t>
      </w:r>
      <w:r w:rsidR="00BF109E">
        <w:t>ereas in our understanding,</w:t>
      </w:r>
      <w:r w:rsidR="00E1529D">
        <w:t xml:space="preserve"> </w:t>
      </w:r>
      <w:r w:rsidR="00782DF6">
        <w:t xml:space="preserve">potential </w:t>
      </w:r>
      <w:r>
        <w:t>deferring QoE reports</w:t>
      </w:r>
      <w:r w:rsidR="00E1529D">
        <w:t xml:space="preserve"> for</w:t>
      </w:r>
      <w:r w:rsidR="00051E0A">
        <w:t xml:space="preserve"> </w:t>
      </w:r>
      <w:r w:rsidR="00E1529D">
        <w:t>R</w:t>
      </w:r>
      <w:r w:rsidR="00AD51F8">
        <w:t>AN</w:t>
      </w:r>
      <w:r w:rsidR="00E1529D">
        <w:t>-visble QoE</w:t>
      </w:r>
      <w:r>
        <w:t xml:space="preserve"> requires attention</w:t>
      </w:r>
      <w:r w:rsidR="00051E0A">
        <w:t>. The R</w:t>
      </w:r>
      <w:r w:rsidR="00AD51F8">
        <w:t>AN</w:t>
      </w:r>
      <w:r w:rsidR="00051E0A">
        <w:t>-visible QoE reports, by design, are</w:t>
      </w:r>
      <w:r w:rsidR="00782DF6">
        <w:t xml:space="preserve"> time critical and</w:t>
      </w:r>
      <w:r w:rsidR="00051E0A">
        <w:t xml:space="preserve"> supposed to be provided to a consumer (MN or SN) more immediately</w:t>
      </w:r>
      <w:r w:rsidR="00BF109E">
        <w:t xml:space="preserve"> than container-based QoE</w:t>
      </w:r>
      <w:r w:rsidR="00051E0A">
        <w:t xml:space="preserve">. Correspondingly, </w:t>
      </w:r>
      <w:r>
        <w:t>if</w:t>
      </w:r>
      <w:r w:rsidR="00051E0A">
        <w:t xml:space="preserve"> the </w:t>
      </w:r>
      <w:r>
        <w:t>R</w:t>
      </w:r>
      <w:r w:rsidR="00AD51F8">
        <w:t>AN</w:t>
      </w:r>
      <w:r>
        <w:t xml:space="preserve">-visible QoE reports is stored in the UE AS buffer (until uncertain SRB configuration), the </w:t>
      </w:r>
      <w:r w:rsidR="00051E0A">
        <w:t>report delivery does not seem to bring desired benefits</w:t>
      </w:r>
      <w:r>
        <w:t xml:space="preserve"> and the UE memory and battery can be unnecessarily wasted. </w:t>
      </w:r>
    </w:p>
    <w:p w14:paraId="3C02C314" w14:textId="4FEABEA4" w:rsidR="00E3693D" w:rsidRDefault="00BF109E" w:rsidP="00E3693D">
      <w:pPr>
        <w:jc w:val="both"/>
      </w:pPr>
      <w:r>
        <w:t>Therefore, we propose to clarify the principle further</w:t>
      </w:r>
      <w:r w:rsidR="00E3693D">
        <w:t xml:space="preserve"> o</w:t>
      </w:r>
      <w:r>
        <w:t xml:space="preserve">n how storing QoE reports concern </w:t>
      </w:r>
      <w:r w:rsidR="00E3693D">
        <w:t>different QoE types. The agreed rule c</w:t>
      </w:r>
      <w:r w:rsidR="00782DF6">
        <w:t xml:space="preserve">ould be </w:t>
      </w:r>
      <w:r w:rsidR="00E3693D">
        <w:t>adopted for container-</w:t>
      </w:r>
      <w:r w:rsidR="00E3693D" w:rsidRPr="00DE213F">
        <w:t>based QoE</w:t>
      </w:r>
      <w:r w:rsidR="00782DF6" w:rsidRPr="00DE213F">
        <w:t xml:space="preserve"> only, but due to differences in reports validity, unconditional storing of RV-QoE report in AS buffer, if UL data arrives, but the configured SRB is not available </w:t>
      </w:r>
      <w:r w:rsidR="00DE213F" w:rsidRPr="00DE213F">
        <w:t>seems questionable</w:t>
      </w:r>
      <w:r w:rsidR="00E3693D" w:rsidRPr="00DE213F">
        <w:t>:</w:t>
      </w:r>
      <w:r w:rsidR="00E3693D">
        <w:t xml:space="preserve"> </w:t>
      </w:r>
    </w:p>
    <w:p w14:paraId="4E43A8F5" w14:textId="62BCB4D7" w:rsidR="00782DF6" w:rsidRDefault="00DE213F" w:rsidP="00E3693D">
      <w:pPr>
        <w:jc w:val="both"/>
        <w:rPr>
          <w:b/>
          <w:bCs/>
        </w:rPr>
      </w:pPr>
      <w:r w:rsidRPr="610330F1">
        <w:rPr>
          <w:b/>
          <w:bCs/>
        </w:rPr>
        <w:t xml:space="preserve">Observation </w:t>
      </w:r>
      <w:r w:rsidR="00782DF6" w:rsidRPr="610330F1">
        <w:rPr>
          <w:b/>
          <w:bCs/>
        </w:rPr>
        <w:t xml:space="preserve">2: </w:t>
      </w:r>
      <w:r w:rsidRPr="610330F1">
        <w:rPr>
          <w:b/>
          <w:bCs/>
        </w:rPr>
        <w:t xml:space="preserve">The </w:t>
      </w:r>
      <w:r w:rsidR="00782DF6" w:rsidRPr="610330F1">
        <w:rPr>
          <w:b/>
          <w:bCs/>
        </w:rPr>
        <w:t>agreed principle (</w:t>
      </w:r>
      <w:r w:rsidRPr="610330F1">
        <w:rPr>
          <w:b/>
          <w:bCs/>
        </w:rPr>
        <w:t xml:space="preserve">in </w:t>
      </w:r>
      <w:r w:rsidR="00782DF6" w:rsidRPr="610330F1">
        <w:rPr>
          <w:b/>
          <w:bCs/>
        </w:rPr>
        <w:t>RAN2#123) on storing QoE report in AS buffer, if UL data arrives, but the configured SRB is not available</w:t>
      </w:r>
      <w:r w:rsidR="148AB9CD" w:rsidRPr="610330F1">
        <w:rPr>
          <w:b/>
          <w:bCs/>
        </w:rPr>
        <w:t>,</w:t>
      </w:r>
      <w:r w:rsidR="00782DF6" w:rsidRPr="610330F1">
        <w:rPr>
          <w:b/>
          <w:bCs/>
        </w:rPr>
        <w:t xml:space="preserve"> need</w:t>
      </w:r>
      <w:r w:rsidR="65CA228C" w:rsidRPr="610330F1">
        <w:rPr>
          <w:b/>
          <w:bCs/>
        </w:rPr>
        <w:t>s</w:t>
      </w:r>
      <w:r w:rsidR="00782DF6" w:rsidRPr="610330F1">
        <w:rPr>
          <w:b/>
          <w:bCs/>
        </w:rPr>
        <w:t xml:space="preserve"> to distinguish container-based QoE report and RV-QoE report.</w:t>
      </w:r>
    </w:p>
    <w:p w14:paraId="7773E6DF" w14:textId="006644E9" w:rsidR="00DE213F" w:rsidRDefault="00DE213F" w:rsidP="00DE213F">
      <w:pPr>
        <w:jc w:val="both"/>
        <w:rPr>
          <w:b/>
          <w:bCs/>
        </w:rPr>
      </w:pPr>
      <w:r>
        <w:rPr>
          <w:b/>
          <w:bCs/>
        </w:rPr>
        <w:t xml:space="preserve">Proposal 2: Storing QoE report in AS buffer, if UL data arrives, but </w:t>
      </w:r>
      <w:r w:rsidRPr="00BF109E">
        <w:rPr>
          <w:b/>
          <w:bCs/>
        </w:rPr>
        <w:t>the configur</w:t>
      </w:r>
      <w:r>
        <w:rPr>
          <w:b/>
          <w:bCs/>
        </w:rPr>
        <w:t>e</w:t>
      </w:r>
      <w:r w:rsidRPr="00BF109E">
        <w:rPr>
          <w:b/>
          <w:bCs/>
        </w:rPr>
        <w:t>d SRB is not available</w:t>
      </w:r>
      <w:r>
        <w:rPr>
          <w:b/>
          <w:bCs/>
        </w:rPr>
        <w:t>, can apply to container-based QoE.</w:t>
      </w:r>
    </w:p>
    <w:p w14:paraId="134E2785" w14:textId="31E8525C" w:rsidR="00051E0A" w:rsidRDefault="00DE213F" w:rsidP="009B519B">
      <w:pPr>
        <w:jc w:val="both"/>
        <w:rPr>
          <w:lang w:val="en-US"/>
        </w:rPr>
      </w:pPr>
      <w:r>
        <w:t>F</w:t>
      </w:r>
      <w:r w:rsidR="00E3693D">
        <w:t>or R</w:t>
      </w:r>
      <w:r w:rsidR="0063138A">
        <w:t>AN</w:t>
      </w:r>
      <w:r w:rsidR="00E3693D">
        <w:t>-visible QoE, it should be network responsibility to decide what the UE should do with the reports than cannot be immediately transferred. R</w:t>
      </w:r>
      <w:r w:rsidR="00770002">
        <w:rPr>
          <w:lang w:val="en-US"/>
        </w:rPr>
        <w:t xml:space="preserve">elying on network configuration, </w:t>
      </w:r>
      <w:r w:rsidR="009B519B">
        <w:rPr>
          <w:lang w:val="en-US"/>
        </w:rPr>
        <w:t xml:space="preserve">we note that </w:t>
      </w:r>
      <w:r w:rsidR="00B91E99">
        <w:rPr>
          <w:lang w:val="en-US"/>
        </w:rPr>
        <w:t xml:space="preserve">for instance </w:t>
      </w:r>
      <w:r w:rsidR="00051E0A">
        <w:rPr>
          <w:lang w:val="en-US"/>
        </w:rPr>
        <w:t>Rel-18</w:t>
      </w:r>
      <w:r w:rsidR="00051E0A" w:rsidRPr="34D2B18E">
        <w:rPr>
          <w:lang w:val="en-US"/>
        </w:rPr>
        <w:t xml:space="preserve"> agreement</w:t>
      </w:r>
      <w:r w:rsidR="00051E0A">
        <w:rPr>
          <w:lang w:val="en-US"/>
        </w:rPr>
        <w:t xml:space="preserve"> to introduce explicit indicator for </w:t>
      </w:r>
      <w:r w:rsidR="00051E0A" w:rsidRPr="261DAD44">
        <w:rPr>
          <w:lang w:val="en-US"/>
        </w:rPr>
        <w:t>‘QoE reporting leg switch</w:t>
      </w:r>
      <w:r w:rsidR="00770002">
        <w:rPr>
          <w:lang w:val="en-US"/>
        </w:rPr>
        <w:t xml:space="preserve">’ may become relevant </w:t>
      </w:r>
      <w:r w:rsidR="009B519B">
        <w:rPr>
          <w:lang w:val="en-US"/>
        </w:rPr>
        <w:t>here. For instance, u</w:t>
      </w:r>
      <w:r w:rsidR="00051E0A" w:rsidRPr="34D2B18E">
        <w:rPr>
          <w:lang w:val="en-US"/>
        </w:rPr>
        <w:t xml:space="preserve">pon the indication reception, </w:t>
      </w:r>
      <w:r w:rsidR="00051E0A">
        <w:t xml:space="preserve">the UE </w:t>
      </w:r>
      <w:r w:rsidR="009B519B">
        <w:t>can</w:t>
      </w:r>
      <w:r w:rsidR="00051E0A">
        <w:t xml:space="preserve"> switch </w:t>
      </w:r>
      <w:r w:rsidR="009B519B">
        <w:t>R</w:t>
      </w:r>
      <w:r w:rsidR="004E132B">
        <w:t>AN</w:t>
      </w:r>
      <w:r w:rsidR="009B519B">
        <w:t xml:space="preserve">-visible </w:t>
      </w:r>
      <w:r w:rsidR="00051E0A">
        <w:t xml:space="preserve">QoE measurements reporting from SRB4 (to MN) to SRB5 (to SN) or vice versa. </w:t>
      </w:r>
    </w:p>
    <w:p w14:paraId="1A326094" w14:textId="006D9B7F" w:rsidR="009B519B" w:rsidRDefault="00051E0A" w:rsidP="009B519B">
      <w:pPr>
        <w:jc w:val="both"/>
        <w:rPr>
          <w:b/>
          <w:bCs/>
        </w:rPr>
      </w:pPr>
      <w:r w:rsidRPr="261DAD44">
        <w:rPr>
          <w:b/>
          <w:bCs/>
        </w:rPr>
        <w:t xml:space="preserve">Proposal </w:t>
      </w:r>
      <w:r w:rsidR="009B519B">
        <w:rPr>
          <w:b/>
          <w:bCs/>
        </w:rPr>
        <w:t>3</w:t>
      </w:r>
      <w:r w:rsidRPr="261DAD44">
        <w:rPr>
          <w:b/>
          <w:bCs/>
        </w:rPr>
        <w:t>:</w:t>
      </w:r>
      <w:r w:rsidR="009B519B">
        <w:rPr>
          <w:b/>
          <w:bCs/>
        </w:rPr>
        <w:t xml:space="preserve"> For </w:t>
      </w:r>
      <w:r w:rsidR="00171B08">
        <w:rPr>
          <w:b/>
          <w:bCs/>
        </w:rPr>
        <w:t>R</w:t>
      </w:r>
      <w:r w:rsidR="00716EB3">
        <w:rPr>
          <w:b/>
          <w:bCs/>
        </w:rPr>
        <w:t>AN</w:t>
      </w:r>
      <w:r w:rsidR="00171B08">
        <w:rPr>
          <w:b/>
          <w:bCs/>
        </w:rPr>
        <w:t>-visible QoE</w:t>
      </w:r>
      <w:r w:rsidR="009B519B">
        <w:rPr>
          <w:b/>
          <w:bCs/>
        </w:rPr>
        <w:t xml:space="preserve">, </w:t>
      </w:r>
      <w:r w:rsidR="00171B08">
        <w:rPr>
          <w:b/>
          <w:bCs/>
        </w:rPr>
        <w:t>gNB</w:t>
      </w:r>
      <w:r w:rsidR="009B519B">
        <w:rPr>
          <w:b/>
          <w:bCs/>
        </w:rPr>
        <w:t xml:space="preserve"> provides</w:t>
      </w:r>
      <w:r w:rsidR="00782DF6">
        <w:rPr>
          <w:b/>
          <w:bCs/>
        </w:rPr>
        <w:t xml:space="preserve"> instruction</w:t>
      </w:r>
      <w:r w:rsidR="009B519B">
        <w:rPr>
          <w:b/>
          <w:bCs/>
        </w:rPr>
        <w:t xml:space="preserve"> to the UE on the report handling upon </w:t>
      </w:r>
      <w:r w:rsidR="001A6D13">
        <w:rPr>
          <w:b/>
          <w:bCs/>
        </w:rPr>
        <w:t xml:space="preserve">the UE detects </w:t>
      </w:r>
      <w:r w:rsidR="009B519B">
        <w:rPr>
          <w:b/>
          <w:bCs/>
        </w:rPr>
        <w:t xml:space="preserve">corresponding SRB </w:t>
      </w:r>
      <w:r w:rsidR="001A6D13">
        <w:rPr>
          <w:b/>
          <w:bCs/>
        </w:rPr>
        <w:t>for reporting is</w:t>
      </w:r>
      <w:r w:rsidR="009B519B">
        <w:rPr>
          <w:b/>
          <w:bCs/>
        </w:rPr>
        <w:t xml:space="preserve"> unavailable. FFS what options are allowed:</w:t>
      </w:r>
    </w:p>
    <w:p w14:paraId="786E061E" w14:textId="09291787" w:rsidR="009B519B" w:rsidRDefault="009B519B" w:rsidP="009B519B">
      <w:pPr>
        <w:pStyle w:val="ListParagraph"/>
        <w:numPr>
          <w:ilvl w:val="0"/>
          <w:numId w:val="25"/>
        </w:numPr>
        <w:jc w:val="both"/>
        <w:rPr>
          <w:b/>
          <w:bCs/>
        </w:rPr>
      </w:pPr>
      <w:r>
        <w:rPr>
          <w:b/>
          <w:bCs/>
        </w:rPr>
        <w:t xml:space="preserve">discard </w:t>
      </w:r>
      <w:r w:rsidR="00171B08">
        <w:rPr>
          <w:b/>
          <w:bCs/>
        </w:rPr>
        <w:t>RV-QoE</w:t>
      </w:r>
      <w:r>
        <w:rPr>
          <w:b/>
          <w:bCs/>
        </w:rPr>
        <w:t xml:space="preserve"> reports, </w:t>
      </w:r>
    </w:p>
    <w:p w14:paraId="4E399A12" w14:textId="54E17592" w:rsidR="009B519B" w:rsidRDefault="009B519B" w:rsidP="009B519B">
      <w:pPr>
        <w:pStyle w:val="ListParagraph"/>
        <w:numPr>
          <w:ilvl w:val="0"/>
          <w:numId w:val="25"/>
        </w:numPr>
        <w:jc w:val="both"/>
        <w:rPr>
          <w:b/>
          <w:bCs/>
        </w:rPr>
      </w:pPr>
      <w:r>
        <w:rPr>
          <w:b/>
          <w:bCs/>
        </w:rPr>
        <w:t>switch reporting leg,</w:t>
      </w:r>
    </w:p>
    <w:p w14:paraId="053AB0F8" w14:textId="799AE1B4" w:rsidR="009B519B" w:rsidRDefault="009B519B" w:rsidP="009B519B">
      <w:pPr>
        <w:pStyle w:val="ListParagraph"/>
        <w:numPr>
          <w:ilvl w:val="0"/>
          <w:numId w:val="25"/>
        </w:numPr>
        <w:jc w:val="both"/>
        <w:rPr>
          <w:b/>
          <w:bCs/>
        </w:rPr>
      </w:pPr>
      <w:r>
        <w:rPr>
          <w:b/>
          <w:bCs/>
        </w:rPr>
        <w:t>store in AS buffer until certain time or memory threshold.</w:t>
      </w:r>
    </w:p>
    <w:p w14:paraId="4F000CDE" w14:textId="77777777" w:rsidR="00782DF6" w:rsidRPr="00782DF6" w:rsidRDefault="00782DF6" w:rsidP="00782DF6">
      <w:pPr>
        <w:jc w:val="both"/>
        <w:rPr>
          <w:b/>
          <w:bCs/>
        </w:rPr>
      </w:pPr>
    </w:p>
    <w:p w14:paraId="1B1D3C37" w14:textId="08770F86" w:rsidR="00AD0306" w:rsidRDefault="00AD0306" w:rsidP="00AD0306">
      <w:pPr>
        <w:pStyle w:val="Heading2"/>
      </w:pPr>
      <w:r>
        <w:t>2.3</w:t>
      </w:r>
      <w:r>
        <w:tab/>
        <w:t>QoE report handling during SCG deactivation</w:t>
      </w:r>
    </w:p>
    <w:p w14:paraId="4B9BD8A8" w14:textId="77777777" w:rsidR="00AD0306" w:rsidRDefault="00AD0306" w:rsidP="00AD0306">
      <w:pPr>
        <w:jc w:val="both"/>
      </w:pPr>
      <w:r>
        <w:rPr>
          <w:lang w:val="en-US"/>
        </w:rPr>
        <w:t>T</w:t>
      </w:r>
      <w:r w:rsidRPr="00D00FA5">
        <w:rPr>
          <w:lang w:val="en-US"/>
        </w:rPr>
        <w:t xml:space="preserve">o enable reasonable UE battery consumption, Rel-17 enabled a generic activation/deactivation mechanism of SCG. </w:t>
      </w:r>
      <w:r w:rsidRPr="00CF5F88">
        <w:rPr>
          <w:lang w:val="en-US"/>
        </w:rPr>
        <w:t>This introduces a</w:t>
      </w:r>
      <w:r w:rsidRPr="00D00FA5">
        <w:rPr>
          <w:lang w:val="en-US"/>
        </w:rPr>
        <w:t xml:space="preserve"> specific case to handle QoE data collection continuity in DC. i.e. for a UE involved in QoE and operating in DC scenario, MN can decide to deactivate SCG. This may imply that reporting for and to the SN may get interrupted (if no dedicated handling for QoE reports is ensured). </w:t>
      </w:r>
      <w:r>
        <w:t xml:space="preserve">A rescue mechanism for impacted data due to SCG deactivation assumes RLC leg involvement and </w:t>
      </w:r>
      <w:r w:rsidRPr="00192FED">
        <w:rPr>
          <w:i/>
          <w:iCs/>
        </w:rPr>
        <w:t>UEAssistanceInformation</w:t>
      </w:r>
      <w:r>
        <w:t xml:space="preserve"> use:</w:t>
      </w:r>
    </w:p>
    <w:tbl>
      <w:tblPr>
        <w:tblStyle w:val="TableGrid"/>
        <w:tblW w:w="0" w:type="auto"/>
        <w:tblInd w:w="-5" w:type="dxa"/>
        <w:tblLook w:val="04A0" w:firstRow="1" w:lastRow="0" w:firstColumn="1" w:lastColumn="0" w:noHBand="0" w:noVBand="1"/>
      </w:tblPr>
      <w:tblGrid>
        <w:gridCol w:w="9630"/>
      </w:tblGrid>
      <w:tr w:rsidR="00AD0306" w14:paraId="773E7B9D" w14:textId="77777777" w:rsidTr="00F07235">
        <w:tc>
          <w:tcPr>
            <w:tcW w:w="9630" w:type="dxa"/>
          </w:tcPr>
          <w:p w14:paraId="34D3743B" w14:textId="77777777" w:rsidR="00AD0306" w:rsidRPr="0042097F" w:rsidRDefault="00AD0306">
            <w:pPr>
              <w:pStyle w:val="B1"/>
              <w:ind w:left="0" w:firstLine="0"/>
              <w:rPr>
                <w:rFonts w:eastAsia="MS Mincho"/>
                <w:b/>
                <w:bCs/>
              </w:rPr>
            </w:pPr>
            <w:r w:rsidRPr="0042097F">
              <w:rPr>
                <w:rFonts w:eastAsia="MS Mincho"/>
                <w:b/>
                <w:bCs/>
              </w:rPr>
              <w:t>38.331 5.7.4: UE Assistance Information:</w:t>
            </w:r>
          </w:p>
          <w:p w14:paraId="2F1ED50D" w14:textId="77777777" w:rsidR="00AD0306" w:rsidRPr="00F10B4F" w:rsidRDefault="00AD0306">
            <w:pPr>
              <w:pStyle w:val="B1"/>
              <w:rPr>
                <w:rFonts w:eastAsia="MS Mincho"/>
              </w:rPr>
            </w:pPr>
            <w:r w:rsidRPr="00F10B4F">
              <w:rPr>
                <w:rFonts w:eastAsia="MS Mincho"/>
              </w:rPr>
              <w:t>1&gt;</w:t>
            </w:r>
            <w:r w:rsidRPr="00F10B4F">
              <w:rPr>
                <w:rFonts w:eastAsia="MS Mincho"/>
              </w:rPr>
              <w:tab/>
            </w:r>
            <w:r w:rsidRPr="004D5CEA">
              <w:rPr>
                <w:rFonts w:eastAsia="MS Mincho"/>
                <w:highlight w:val="yellow"/>
              </w:rPr>
              <w:t>if the SCG is deactivated</w:t>
            </w:r>
            <w:r w:rsidRPr="00AC0457">
              <w:rPr>
                <w:rFonts w:eastAsia="MS Mincho"/>
                <w:b/>
                <w:bCs/>
              </w:rPr>
              <w:t>,</w:t>
            </w:r>
            <w:r w:rsidRPr="00F10B4F">
              <w:rPr>
                <w:rFonts w:eastAsia="MS Mincho"/>
              </w:rPr>
              <w:t xml:space="preserve"> and,</w:t>
            </w:r>
          </w:p>
          <w:p w14:paraId="4CE0107D" w14:textId="77777777" w:rsidR="00AD0306" w:rsidRPr="00F07235" w:rsidRDefault="00AD0306">
            <w:pPr>
              <w:pStyle w:val="B1"/>
              <w:rPr>
                <w:rFonts w:eastAsia="MS Mincho"/>
              </w:rPr>
            </w:pPr>
            <w:r w:rsidRPr="00F10B4F">
              <w:rPr>
                <w:rFonts w:eastAsia="MS Mincho"/>
              </w:rPr>
              <w:t>1&gt;</w:t>
            </w:r>
            <w:r w:rsidRPr="00F10B4F">
              <w:rPr>
                <w:rFonts w:eastAsia="MS Mincho"/>
              </w:rPr>
              <w:tab/>
            </w:r>
            <w:r w:rsidRPr="00F07235">
              <w:rPr>
                <w:rFonts w:eastAsia="MS Mincho"/>
              </w:rPr>
              <w:t>the UE has uplink data to send for an SCG RLC entity while the UE previously did not have any uplink data to send for any SCG RLC entity:</w:t>
            </w:r>
          </w:p>
          <w:p w14:paraId="4AE5712A" w14:textId="77777777" w:rsidR="00AD0306" w:rsidRPr="00F07235" w:rsidRDefault="00AD0306">
            <w:pPr>
              <w:pStyle w:val="B2"/>
              <w:rPr>
                <w:rFonts w:eastAsia="MS Mincho"/>
              </w:rPr>
            </w:pPr>
            <w:r w:rsidRPr="00F07235">
              <w:rPr>
                <w:rFonts w:eastAsia="MS Mincho"/>
              </w:rPr>
              <w:t>2&gt;</w:t>
            </w:r>
            <w:r w:rsidRPr="00F07235">
              <w:rPr>
                <w:rFonts w:eastAsia="MS Mincho"/>
              </w:rPr>
              <w:tab/>
            </w:r>
            <w:r w:rsidRPr="00F07235">
              <w:rPr>
                <w:rFonts w:eastAsia="MS Mincho"/>
                <w:b/>
                <w:bCs/>
              </w:rPr>
              <w:t xml:space="preserve">initiate transmission of the </w:t>
            </w:r>
            <w:r w:rsidRPr="00F07235">
              <w:rPr>
                <w:rFonts w:eastAsia="MS Mincho"/>
                <w:b/>
                <w:bCs/>
                <w:i/>
              </w:rPr>
              <w:t>UEAssistanceInformation</w:t>
            </w:r>
            <w:r w:rsidRPr="00F07235">
              <w:rPr>
                <w:rFonts w:eastAsia="MS Mincho"/>
                <w:b/>
                <w:bCs/>
              </w:rPr>
              <w:t xml:space="preserve"> message</w:t>
            </w:r>
            <w:r w:rsidRPr="00F07235">
              <w:rPr>
                <w:rFonts w:eastAsia="MS Mincho"/>
              </w:rPr>
              <w:t xml:space="preserve"> in accordance with 5.7.4.3 </w:t>
            </w:r>
            <w:r w:rsidRPr="00F07235">
              <w:rPr>
                <w:rFonts w:eastAsia="MS Mincho"/>
                <w:b/>
                <w:bCs/>
              </w:rPr>
              <w:t>to indicate that the UE has uplink data to send for a</w:t>
            </w:r>
            <w:r w:rsidRPr="00F07235">
              <w:rPr>
                <w:rFonts w:eastAsia="MS Mincho"/>
              </w:rPr>
              <w:t xml:space="preserve"> </w:t>
            </w:r>
            <w:r w:rsidRPr="00F07235">
              <w:rPr>
                <w:rFonts w:eastAsia="MS Mincho"/>
                <w:b/>
                <w:bCs/>
              </w:rPr>
              <w:t>DRB</w:t>
            </w:r>
            <w:r w:rsidRPr="00F07235">
              <w:rPr>
                <w:rFonts w:eastAsia="MS Mincho"/>
              </w:rPr>
              <w:t xml:space="preserve"> whose </w:t>
            </w:r>
            <w:r w:rsidRPr="00F07235">
              <w:rPr>
                <w:rFonts w:eastAsia="MS Mincho"/>
                <w:i/>
              </w:rPr>
              <w:t>DRB-Identity</w:t>
            </w:r>
            <w:r w:rsidRPr="00F07235">
              <w:rPr>
                <w:rFonts w:eastAsia="MS Mincho"/>
              </w:rPr>
              <w:t xml:space="preserve"> is not included in any </w:t>
            </w:r>
            <w:r w:rsidRPr="00F07235">
              <w:rPr>
                <w:rFonts w:eastAsia="MS Mincho"/>
                <w:i/>
              </w:rPr>
              <w:t>RLC-BearerConfig</w:t>
            </w:r>
            <w:r w:rsidRPr="00F07235">
              <w:rPr>
                <w:rFonts w:eastAsia="MS Mincho"/>
              </w:rPr>
              <w:t xml:space="preserve"> in the </w:t>
            </w:r>
            <w:r w:rsidRPr="00F07235">
              <w:rPr>
                <w:rFonts w:eastAsia="MS Mincho"/>
                <w:i/>
              </w:rPr>
              <w:t>CellGroupConfig</w:t>
            </w:r>
            <w:r w:rsidRPr="00F07235">
              <w:rPr>
                <w:rFonts w:eastAsia="MS Mincho"/>
              </w:rPr>
              <w:t xml:space="preserve"> associated with the MCG.</w:t>
            </w:r>
          </w:p>
          <w:p w14:paraId="5F33255C" w14:textId="77777777" w:rsidR="00AD0306" w:rsidRDefault="00AD0306">
            <w:pPr>
              <w:pStyle w:val="B2"/>
              <w:rPr>
                <w:rFonts w:eastAsia="MS Mincho"/>
              </w:rPr>
            </w:pPr>
            <w:r>
              <w:rPr>
                <w:rFonts w:eastAsia="MS Mincho"/>
              </w:rPr>
              <w:t>…</w:t>
            </w:r>
          </w:p>
          <w:p w14:paraId="482D10BD" w14:textId="77777777" w:rsidR="00AD0306" w:rsidRPr="00665FB6" w:rsidRDefault="00AD0306">
            <w:pPr>
              <w:pStyle w:val="B1"/>
              <w:rPr>
                <w:rFonts w:eastAsia="MS Mincho"/>
              </w:rPr>
            </w:pPr>
            <w:r w:rsidRPr="00665FB6">
              <w:rPr>
                <w:rFonts w:eastAsia="MS Mincho"/>
              </w:rPr>
              <w:t xml:space="preserve">1&gt; if transmission of the </w:t>
            </w:r>
            <w:r w:rsidRPr="00665FB6">
              <w:rPr>
                <w:rFonts w:eastAsia="MS Mincho"/>
                <w:i/>
                <w:iCs/>
              </w:rPr>
              <w:t>UEAssistanceInformation</w:t>
            </w:r>
            <w:r w:rsidRPr="00665FB6">
              <w:rPr>
                <w:rFonts w:eastAsia="MS Mincho"/>
              </w:rPr>
              <w:t xml:space="preserve"> message is initiated to provide an indication that the UE has</w:t>
            </w:r>
            <w:r>
              <w:rPr>
                <w:rFonts w:eastAsia="MS Mincho"/>
              </w:rPr>
              <w:t xml:space="preserve"> </w:t>
            </w:r>
            <w:r w:rsidRPr="00665FB6">
              <w:rPr>
                <w:rFonts w:eastAsia="MS Mincho"/>
              </w:rPr>
              <w:t>uplink data related to a deactivated SCG according to 5.7.4.2:</w:t>
            </w:r>
          </w:p>
          <w:p w14:paraId="03E80618" w14:textId="77777777" w:rsidR="00AD0306" w:rsidRPr="0042097F" w:rsidRDefault="00AD0306">
            <w:pPr>
              <w:pStyle w:val="B2"/>
              <w:rPr>
                <w:rFonts w:eastAsia="MS Mincho"/>
              </w:rPr>
            </w:pPr>
            <w:r w:rsidRPr="00665FB6">
              <w:rPr>
                <w:rFonts w:eastAsia="MS Mincho"/>
              </w:rPr>
              <w:t xml:space="preserve">2&gt; include </w:t>
            </w:r>
            <w:r w:rsidRPr="00665FB6">
              <w:rPr>
                <w:rFonts w:eastAsia="MS Mincho"/>
                <w:b/>
                <w:bCs/>
                <w:i/>
                <w:iCs/>
              </w:rPr>
              <w:t>uplinkData</w:t>
            </w:r>
            <w:r w:rsidRPr="00665FB6">
              <w:rPr>
                <w:rFonts w:eastAsia="MS Mincho"/>
              </w:rPr>
              <w:t xml:space="preserve"> in the </w:t>
            </w:r>
            <w:r w:rsidRPr="00665FB6">
              <w:rPr>
                <w:rFonts w:eastAsia="MS Mincho"/>
                <w:b/>
                <w:bCs/>
                <w:i/>
                <w:iCs/>
              </w:rPr>
              <w:t>UEAssistanceInformation</w:t>
            </w:r>
            <w:r w:rsidRPr="00665FB6">
              <w:rPr>
                <w:rFonts w:eastAsia="MS Mincho"/>
              </w:rPr>
              <w:t xml:space="preserve"> message.</w:t>
            </w:r>
          </w:p>
        </w:tc>
      </w:tr>
    </w:tbl>
    <w:p w14:paraId="33193F61" w14:textId="77777777" w:rsidR="00AD0306" w:rsidRDefault="00AD0306" w:rsidP="00AD0306"/>
    <w:tbl>
      <w:tblPr>
        <w:tblStyle w:val="TableGrid"/>
        <w:tblW w:w="0" w:type="auto"/>
        <w:tblInd w:w="-5" w:type="dxa"/>
        <w:tblLook w:val="04A0" w:firstRow="1" w:lastRow="0" w:firstColumn="1" w:lastColumn="0" w:noHBand="0" w:noVBand="1"/>
      </w:tblPr>
      <w:tblGrid>
        <w:gridCol w:w="9630"/>
      </w:tblGrid>
      <w:tr w:rsidR="00AD0306" w14:paraId="115AB16F" w14:textId="77777777" w:rsidTr="00F07235">
        <w:tc>
          <w:tcPr>
            <w:tcW w:w="9630" w:type="dxa"/>
          </w:tcPr>
          <w:p w14:paraId="6AA14420" w14:textId="77777777" w:rsidR="00AD0306" w:rsidRDefault="00AD0306">
            <w:pPr>
              <w:pStyle w:val="PL"/>
            </w:pPr>
            <w:r>
              <w:t>UEAssistanceInformation-v17xy-IEs ::= SEQUENCE {</w:t>
            </w:r>
          </w:p>
          <w:p w14:paraId="47BF824D" w14:textId="77777777" w:rsidR="00AD0306" w:rsidRDefault="00AD0306">
            <w:pPr>
              <w:pStyle w:val="PL"/>
            </w:pPr>
            <w:r>
              <w:tab/>
            </w:r>
            <w:r w:rsidRPr="00B8593C">
              <w:rPr>
                <w:b/>
                <w:bCs/>
              </w:rPr>
              <w:t>uplinkData-r17</w:t>
            </w:r>
            <w:r>
              <w:t xml:space="preserve">                      ENUMERATED { true }                 OP</w:t>
            </w:r>
            <w:r>
              <w:rPr>
                <w:rFonts w:eastAsia="等线"/>
                <w:lang w:eastAsia="zh-CN"/>
              </w:rPr>
              <w:t>TIONAL,</w:t>
            </w:r>
          </w:p>
          <w:p w14:paraId="18F6956C" w14:textId="77777777" w:rsidR="00AD0306" w:rsidRDefault="00AD0306">
            <w:pPr>
              <w:pStyle w:val="PL"/>
            </w:pPr>
            <w:r>
              <w:t xml:space="preserve">    nonCriticalExtension                SEQUENCE {}                         OPTIONAL</w:t>
            </w:r>
          </w:p>
          <w:p w14:paraId="46CF14B8" w14:textId="77777777" w:rsidR="00AD0306" w:rsidRDefault="00AD0306">
            <w:pPr>
              <w:pStyle w:val="PL"/>
            </w:pPr>
            <w:r>
              <w:t>}</w:t>
            </w:r>
          </w:p>
        </w:tc>
      </w:tr>
    </w:tbl>
    <w:p w14:paraId="1937621A" w14:textId="77777777" w:rsidR="00DE213F" w:rsidRDefault="00AD0306" w:rsidP="00AD0306">
      <w:pPr>
        <w:rPr>
          <w:lang w:val="en-US"/>
        </w:rPr>
      </w:pPr>
      <w:r w:rsidRPr="00447FB0">
        <w:rPr>
          <w:lang w:val="en-US"/>
        </w:rPr>
        <w:lastRenderedPageBreak/>
        <w:t xml:space="preserve">Since the SCG is intentionally to be deactivated, the direct SRB5 between the SN and the UE cannot be used for QoE report transmission. </w:t>
      </w:r>
      <w:r>
        <w:rPr>
          <w:lang w:val="en-US"/>
        </w:rPr>
        <w:t xml:space="preserve">For QoE configuration which is </w:t>
      </w:r>
      <w:r>
        <w:t xml:space="preserve">configured to be transmitted via SRB5, </w:t>
      </w:r>
      <w:r>
        <w:rPr>
          <w:lang w:val="en-US"/>
        </w:rPr>
        <w:t>t</w:t>
      </w:r>
      <w:r w:rsidRPr="00447FB0">
        <w:rPr>
          <w:lang w:val="en-US"/>
        </w:rPr>
        <w:t xml:space="preserve">he need to continue with QoE reports transmission may vary depending on QoE type. For a RVQoE and QoE-container based reports, there might be different treatment needed upon the SCG gets deactivated by NW. For instance, the UE could be enabled to directly switch the QoE reports transmission to MN via SRB4 or discard the reports. </w:t>
      </w:r>
    </w:p>
    <w:p w14:paraId="5F022492" w14:textId="5ECB4B2A" w:rsidR="002762AD" w:rsidRDefault="00DE213F" w:rsidP="00AD0306">
      <w:pPr>
        <w:rPr>
          <w:lang w:val="en-US"/>
        </w:rPr>
      </w:pPr>
      <w:r>
        <w:rPr>
          <w:lang w:val="en-US"/>
        </w:rPr>
        <w:t>This use case</w:t>
      </w:r>
      <w:r w:rsidR="00AB78BC">
        <w:rPr>
          <w:lang w:val="en-US"/>
        </w:rPr>
        <w:t xml:space="preserve"> analysis, led to the agreement discussed in</w:t>
      </w:r>
      <w:r w:rsidR="007D4C4B">
        <w:rPr>
          <w:lang w:val="en-US"/>
        </w:rPr>
        <w:t xml:space="preserve"> </w:t>
      </w:r>
      <w:r w:rsidR="00AB78BC">
        <w:rPr>
          <w:lang w:val="en-US"/>
        </w:rPr>
        <w:t xml:space="preserve">2.2, however the agreement on how the UE should handle QoE in case of UL data arrival is not limited to SCG activation. </w:t>
      </w:r>
      <w:r w:rsidR="002762AD">
        <w:rPr>
          <w:lang w:val="en-US"/>
        </w:rPr>
        <w:t>For SCG deactivation, RAN2 agreed below with FFS whether this requires any specification impacts.</w:t>
      </w:r>
    </w:p>
    <w:tbl>
      <w:tblPr>
        <w:tblStyle w:val="TableGrid"/>
        <w:tblW w:w="0" w:type="auto"/>
        <w:tblLook w:val="04A0" w:firstRow="1" w:lastRow="0" w:firstColumn="1" w:lastColumn="0" w:noHBand="0" w:noVBand="1"/>
      </w:tblPr>
      <w:tblGrid>
        <w:gridCol w:w="9631"/>
      </w:tblGrid>
      <w:tr w:rsidR="002762AD" w14:paraId="3CCDD20B" w14:textId="77777777" w:rsidTr="002762AD">
        <w:tc>
          <w:tcPr>
            <w:tcW w:w="9631" w:type="dxa"/>
          </w:tcPr>
          <w:p w14:paraId="64D8D761" w14:textId="4BB904E4" w:rsidR="002762AD" w:rsidRDefault="002762AD" w:rsidP="00AD0306">
            <w:pPr>
              <w:rPr>
                <w:lang w:val="en-US"/>
              </w:rPr>
            </w:pPr>
            <w:r>
              <w:rPr>
                <w:lang w:val="en-US"/>
              </w:rPr>
              <w:t>Agreement in RAN2-123 meeting:</w:t>
            </w:r>
          </w:p>
          <w:p w14:paraId="4B96E9C9" w14:textId="2F6FA5A2" w:rsidR="002762AD" w:rsidRPr="002762AD" w:rsidRDefault="002762AD" w:rsidP="002762AD">
            <w:pPr>
              <w:rPr>
                <w:lang w:val="en-US"/>
              </w:rPr>
            </w:pPr>
            <w:r w:rsidRPr="002762AD">
              <w:rPr>
                <w:lang w:val="en-US"/>
              </w:rPr>
              <w:t xml:space="preserve">Follow Rel-17 principles: UE indicates data availability for DRBs when requesting SCG activation. It is up to NW implementation to map SRB5 to MN or pause QoE reporting when SCG is deactivated. </w:t>
            </w:r>
            <w:r w:rsidRPr="00AD51F8">
              <w:rPr>
                <w:highlight w:val="yellow"/>
                <w:lang w:val="en-US"/>
              </w:rPr>
              <w:t>FFS whether this requires any specification impacts.</w:t>
            </w:r>
          </w:p>
          <w:p w14:paraId="70C47BC9" w14:textId="006CE7A1" w:rsidR="002762AD" w:rsidRDefault="002762AD" w:rsidP="002762AD">
            <w:pPr>
              <w:rPr>
                <w:lang w:val="en-US"/>
              </w:rPr>
            </w:pPr>
            <w:r w:rsidRPr="002762AD">
              <w:rPr>
                <w:lang w:val="en-US"/>
              </w:rPr>
              <w:t>UE should not request to activate SCG only for the purpose of QoE reporting via SRB5. FFS for RVQoE reporting.</w:t>
            </w:r>
          </w:p>
        </w:tc>
      </w:tr>
    </w:tbl>
    <w:p w14:paraId="2C6768D6" w14:textId="77777777" w:rsidR="002762AD" w:rsidRPr="007F01FE" w:rsidRDefault="002762AD" w:rsidP="00AD0306">
      <w:pPr>
        <w:rPr>
          <w:sz w:val="2"/>
          <w:szCs w:val="2"/>
          <w:lang w:val="en-US"/>
        </w:rPr>
      </w:pPr>
    </w:p>
    <w:p w14:paraId="367A66BE" w14:textId="2C7AA8EF" w:rsidR="00A72687" w:rsidRDefault="00DE213F" w:rsidP="00AD0306">
      <w:pPr>
        <w:rPr>
          <w:lang w:val="en-US"/>
        </w:rPr>
      </w:pPr>
      <w:r>
        <w:rPr>
          <w:lang w:val="en-US"/>
        </w:rPr>
        <w:t xml:space="preserve">This </w:t>
      </w:r>
      <w:r w:rsidR="00E4524B">
        <w:rPr>
          <w:lang w:val="en-US"/>
        </w:rPr>
        <w:t xml:space="preserve">scenario handling can re-use generic UE and network behaviors on handling the reports upon UL data arrives but SCG is not available (as discussed in section 2.2). </w:t>
      </w:r>
      <w:r w:rsidR="00A72687">
        <w:rPr>
          <w:lang w:val="en-US"/>
        </w:rPr>
        <w:t>Thus, it seems reasonable to differentiate between container-based QoE and RV-QoE:</w:t>
      </w:r>
    </w:p>
    <w:p w14:paraId="4A107D18" w14:textId="44BE30E1" w:rsidR="00DF0DC1" w:rsidRDefault="00DF0DC1" w:rsidP="00DF0DC1">
      <w:pPr>
        <w:spacing w:after="0"/>
        <w:rPr>
          <w:b/>
          <w:bCs/>
        </w:rPr>
      </w:pPr>
      <w:r w:rsidRPr="610330F1">
        <w:rPr>
          <w:b/>
          <w:bCs/>
        </w:rPr>
        <w:t>Proposal 4: In case of SCG deactivation, for container-based QoE, the following principles</w:t>
      </w:r>
      <w:r w:rsidR="007A4D80" w:rsidRPr="610330F1">
        <w:rPr>
          <w:b/>
          <w:bCs/>
        </w:rPr>
        <w:t xml:space="preserve"> can</w:t>
      </w:r>
      <w:r w:rsidRPr="610330F1">
        <w:rPr>
          <w:b/>
          <w:bCs/>
        </w:rPr>
        <w:t xml:space="preserve"> appl</w:t>
      </w:r>
      <w:r w:rsidR="00A94D9E" w:rsidRPr="610330F1">
        <w:rPr>
          <w:b/>
          <w:bCs/>
        </w:rPr>
        <w:t>y</w:t>
      </w:r>
      <w:r w:rsidRPr="610330F1">
        <w:rPr>
          <w:b/>
          <w:bCs/>
        </w:rPr>
        <w:t>:</w:t>
      </w:r>
    </w:p>
    <w:p w14:paraId="21317470" w14:textId="42396CD8" w:rsidR="00DF0DC1" w:rsidRDefault="00DF0DC1" w:rsidP="00DF0DC1">
      <w:pPr>
        <w:pStyle w:val="ListParagraph"/>
        <w:numPr>
          <w:ilvl w:val="0"/>
          <w:numId w:val="30"/>
        </w:numPr>
        <w:spacing w:after="0"/>
        <w:rPr>
          <w:b/>
          <w:bCs/>
        </w:rPr>
      </w:pPr>
      <w:r w:rsidRPr="00AD51F8">
        <w:rPr>
          <w:b/>
          <w:bCs/>
        </w:rPr>
        <w:t>UE can store QoE report in AS buffer, if UL data arrives</w:t>
      </w:r>
      <w:r w:rsidR="00A94D9E">
        <w:rPr>
          <w:b/>
          <w:bCs/>
        </w:rPr>
        <w:t xml:space="preserve"> (as agreed in RAN2#123)</w:t>
      </w:r>
      <w:r>
        <w:rPr>
          <w:b/>
          <w:bCs/>
        </w:rPr>
        <w:t>,</w:t>
      </w:r>
    </w:p>
    <w:p w14:paraId="0D80F636" w14:textId="02A1E8AC" w:rsidR="00DF0DC1" w:rsidRDefault="755A865D" w:rsidP="00DF0DC1">
      <w:pPr>
        <w:pStyle w:val="ListParagraph"/>
        <w:numPr>
          <w:ilvl w:val="0"/>
          <w:numId w:val="30"/>
        </w:numPr>
        <w:spacing w:after="0"/>
        <w:rPr>
          <w:b/>
          <w:bCs/>
        </w:rPr>
      </w:pPr>
      <w:r w:rsidRPr="610330F1">
        <w:rPr>
          <w:b/>
          <w:bCs/>
        </w:rPr>
        <w:t>gNB</w:t>
      </w:r>
      <w:r w:rsidR="00CD1C71" w:rsidRPr="610330F1">
        <w:rPr>
          <w:b/>
          <w:bCs/>
        </w:rPr>
        <w:t xml:space="preserve"> can pause </w:t>
      </w:r>
      <w:r w:rsidR="00500875" w:rsidRPr="610330F1">
        <w:rPr>
          <w:b/>
          <w:bCs/>
        </w:rPr>
        <w:t xml:space="preserve">QoE reporting </w:t>
      </w:r>
      <w:r w:rsidR="00AF1954" w:rsidRPr="610330F1">
        <w:rPr>
          <w:b/>
          <w:bCs/>
        </w:rPr>
        <w:t xml:space="preserve">(up to NW implementation), </w:t>
      </w:r>
    </w:p>
    <w:p w14:paraId="5059FA91" w14:textId="750CF85C" w:rsidR="00DF0DC1" w:rsidRPr="000B5108" w:rsidRDefault="007A4D80" w:rsidP="00AD51F8">
      <w:pPr>
        <w:pStyle w:val="ListParagraph"/>
        <w:numPr>
          <w:ilvl w:val="0"/>
          <w:numId w:val="30"/>
        </w:numPr>
        <w:spacing w:after="0"/>
        <w:rPr>
          <w:b/>
          <w:bCs/>
        </w:rPr>
      </w:pPr>
      <w:r w:rsidRPr="610330F1">
        <w:rPr>
          <w:b/>
          <w:bCs/>
        </w:rPr>
        <w:t>gNB can</w:t>
      </w:r>
      <w:r w:rsidR="00A94D9E" w:rsidRPr="610330F1">
        <w:rPr>
          <w:b/>
          <w:bCs/>
        </w:rPr>
        <w:t xml:space="preserve"> </w:t>
      </w:r>
      <w:r w:rsidRPr="610330F1">
        <w:rPr>
          <w:b/>
          <w:bCs/>
        </w:rPr>
        <w:t xml:space="preserve">decide to </w:t>
      </w:r>
      <w:r w:rsidR="00A94D9E" w:rsidRPr="610330F1">
        <w:rPr>
          <w:b/>
          <w:bCs/>
        </w:rPr>
        <w:t>switch reporting leg</w:t>
      </w:r>
      <w:r w:rsidR="000B5108" w:rsidRPr="610330F1">
        <w:rPr>
          <w:b/>
          <w:bCs/>
        </w:rPr>
        <w:t xml:space="preserve"> (up to NW configuration). </w:t>
      </w:r>
    </w:p>
    <w:p w14:paraId="5CA3AE4F" w14:textId="77777777" w:rsidR="00AC68C6" w:rsidRDefault="00AC68C6" w:rsidP="00AD0306">
      <w:pPr>
        <w:rPr>
          <w:lang w:val="en-US"/>
        </w:rPr>
      </w:pPr>
    </w:p>
    <w:p w14:paraId="54623D44" w14:textId="6587DC3E" w:rsidR="00D50096" w:rsidRPr="007F01FE" w:rsidRDefault="00E4524B" w:rsidP="007F01FE">
      <w:pPr>
        <w:rPr>
          <w:lang w:val="en-US"/>
        </w:rPr>
      </w:pPr>
      <w:r>
        <w:rPr>
          <w:lang w:val="en-US"/>
        </w:rPr>
        <w:t>H</w:t>
      </w:r>
      <w:r w:rsidR="00AB78BC">
        <w:rPr>
          <w:lang w:val="en-US"/>
        </w:rPr>
        <w:t>owever</w:t>
      </w:r>
      <w:r>
        <w:rPr>
          <w:lang w:val="en-US"/>
        </w:rPr>
        <w:t xml:space="preserve">, </w:t>
      </w:r>
      <w:r w:rsidR="00AC68C6">
        <w:rPr>
          <w:lang w:val="en-US"/>
        </w:rPr>
        <w:t>for R</w:t>
      </w:r>
      <w:r w:rsidR="007F01FE">
        <w:rPr>
          <w:lang w:val="en-US"/>
        </w:rPr>
        <w:t>AN</w:t>
      </w:r>
      <w:r w:rsidR="00AC68C6">
        <w:rPr>
          <w:lang w:val="en-US"/>
        </w:rPr>
        <w:t xml:space="preserve">-visible QoE buffering might be not needed and </w:t>
      </w:r>
      <w:r>
        <w:rPr>
          <w:lang w:val="en-US"/>
        </w:rPr>
        <w:t>SCG deactivation would become specific trigger</w:t>
      </w:r>
      <w:r w:rsidR="00AC68C6">
        <w:rPr>
          <w:lang w:val="en-US"/>
        </w:rPr>
        <w:t>. T</w:t>
      </w:r>
      <w:r>
        <w:rPr>
          <w:lang w:val="en-US"/>
        </w:rPr>
        <w:t xml:space="preserve">he generic rule needs to be tailored to </w:t>
      </w:r>
      <w:r w:rsidR="00132E56">
        <w:rPr>
          <w:lang w:val="en-US"/>
        </w:rPr>
        <w:t xml:space="preserve">the limited usage. I.e., due to SCG deactivation, the reporting can be changed to SRB4 (MN) only. </w:t>
      </w:r>
    </w:p>
    <w:p w14:paraId="099F612E" w14:textId="604F7E72" w:rsidR="00D50096" w:rsidRDefault="00D50096" w:rsidP="00AD51F8">
      <w:pPr>
        <w:spacing w:after="0"/>
        <w:rPr>
          <w:b/>
          <w:bCs/>
          <w:lang w:eastAsia="zh-CN"/>
        </w:rPr>
      </w:pPr>
      <w:r w:rsidRPr="610330F1">
        <w:rPr>
          <w:b/>
          <w:bCs/>
        </w:rPr>
        <w:t xml:space="preserve">Proposal 5: In case of SCG deactivation, for RVQoE gNB provides </w:t>
      </w:r>
      <w:r w:rsidRPr="610330F1">
        <w:rPr>
          <w:b/>
          <w:bCs/>
          <w:lang w:eastAsia="zh-CN"/>
        </w:rPr>
        <w:t xml:space="preserve">additional RRC configuration to UE, to indicate how to deal with the QoE reporting configured to be transmitted via SRB5. </w:t>
      </w:r>
    </w:p>
    <w:p w14:paraId="425FDC61" w14:textId="4C9E305A" w:rsidR="00D50096" w:rsidRPr="00AC68C6" w:rsidRDefault="00D50096" w:rsidP="00D50096">
      <w:pPr>
        <w:rPr>
          <w:b/>
          <w:bCs/>
          <w:lang w:eastAsia="zh-CN"/>
        </w:rPr>
      </w:pPr>
      <w:r w:rsidRPr="00AC68C6">
        <w:rPr>
          <w:b/>
          <w:bCs/>
          <w:lang w:eastAsia="zh-CN"/>
        </w:rPr>
        <w:t>FFS what options are allowed for RVQoE  configuration update</w:t>
      </w:r>
      <w:r w:rsidRPr="00AC68C6">
        <w:rPr>
          <w:b/>
          <w:bCs/>
        </w:rPr>
        <w:t xml:space="preserve"> if QoE data is available for transmission</w:t>
      </w:r>
      <w:r w:rsidRPr="00AC68C6">
        <w:rPr>
          <w:b/>
          <w:bCs/>
          <w:lang w:eastAsia="zh-CN"/>
        </w:rPr>
        <w:t xml:space="preserve">: </w:t>
      </w:r>
    </w:p>
    <w:p w14:paraId="729657B1" w14:textId="6639FC6C" w:rsidR="00D50096" w:rsidRDefault="00D50096" w:rsidP="00D50096">
      <w:pPr>
        <w:pStyle w:val="ListParagraph"/>
        <w:numPr>
          <w:ilvl w:val="0"/>
          <w:numId w:val="31"/>
        </w:numPr>
        <w:rPr>
          <w:b/>
          <w:bCs/>
        </w:rPr>
      </w:pPr>
      <w:r w:rsidRPr="00171B08">
        <w:rPr>
          <w:b/>
          <w:bCs/>
        </w:rPr>
        <w:t>discard reports</w:t>
      </w:r>
      <w:r>
        <w:rPr>
          <w:b/>
          <w:bCs/>
        </w:rPr>
        <w:t xml:space="preserve"> (specifically for RVQoE)</w:t>
      </w:r>
    </w:p>
    <w:p w14:paraId="33C7F914" w14:textId="3EB86694" w:rsidR="00D50096" w:rsidRPr="00AC68C6" w:rsidRDefault="00D50096" w:rsidP="00D50096">
      <w:pPr>
        <w:pStyle w:val="ListParagraph"/>
        <w:numPr>
          <w:ilvl w:val="0"/>
          <w:numId w:val="31"/>
        </w:numPr>
        <w:rPr>
          <w:b/>
          <w:bCs/>
        </w:rPr>
      </w:pPr>
      <w:r w:rsidRPr="00AC68C6">
        <w:rPr>
          <w:b/>
          <w:bCs/>
        </w:rPr>
        <w:t xml:space="preserve">switch reporting leg </w:t>
      </w:r>
      <w:r>
        <w:rPr>
          <w:b/>
          <w:bCs/>
        </w:rPr>
        <w:t xml:space="preserve">(specifically for RVQoE: </w:t>
      </w:r>
      <w:r w:rsidRPr="00AC68C6">
        <w:rPr>
          <w:b/>
          <w:bCs/>
        </w:rPr>
        <w:t xml:space="preserve">from SRB5 to SRB4 to send associated reports via MN), </w:t>
      </w:r>
    </w:p>
    <w:p w14:paraId="3E68E554" w14:textId="6F85724D" w:rsidR="00D50096" w:rsidRPr="00AD51F8" w:rsidRDefault="00D50096" w:rsidP="00AD51F8">
      <w:pPr>
        <w:pStyle w:val="ListParagraph"/>
        <w:numPr>
          <w:ilvl w:val="0"/>
          <w:numId w:val="31"/>
        </w:numPr>
        <w:rPr>
          <w:b/>
          <w:bCs/>
        </w:rPr>
      </w:pPr>
      <w:r w:rsidRPr="46A5C3A7">
        <w:rPr>
          <w:b/>
          <w:bCs/>
        </w:rPr>
        <w:t>trigger UEAssistanceInformation to reactivate SCG (specifically for RV-QoE if SRB4 is not configured).</w:t>
      </w:r>
    </w:p>
    <w:p w14:paraId="69B7B8E6" w14:textId="69E07FC9" w:rsidR="009339CB" w:rsidRPr="006E13D1" w:rsidRDefault="005A13AB" w:rsidP="009339CB">
      <w:pPr>
        <w:pStyle w:val="Heading1"/>
      </w:pPr>
      <w:r>
        <w:t>3</w:t>
      </w:r>
      <w:r w:rsidR="009339CB" w:rsidRPr="006E13D1">
        <w:tab/>
      </w:r>
      <w:r w:rsidR="009339CB">
        <w:t>Conclusion</w:t>
      </w:r>
    </w:p>
    <w:p w14:paraId="6133DE02" w14:textId="77777777" w:rsidR="003234B4" w:rsidRPr="006E13D1" w:rsidRDefault="003234B4" w:rsidP="003234B4">
      <w:r>
        <w:t>This document has made the following observations:</w:t>
      </w:r>
    </w:p>
    <w:p w14:paraId="5A8CB1BF" w14:textId="77777777" w:rsidR="003234B4" w:rsidRDefault="003234B4" w:rsidP="003234B4">
      <w:r w:rsidRPr="00CF3F9E">
        <w:rPr>
          <w:b/>
          <w:bCs/>
        </w:rPr>
        <w:t>Observation 1</w:t>
      </w:r>
      <w:r w:rsidRPr="00E4524B">
        <w:rPr>
          <w:b/>
          <w:bCs/>
        </w:rPr>
        <w:t>: QoE configuration should enable explicit indication of SRB4 and SRB5 for reporting, even though configured by a single node (MN or SN).</w:t>
      </w:r>
    </w:p>
    <w:p w14:paraId="628BC733" w14:textId="77777777" w:rsidR="003234B4" w:rsidRDefault="003234B4" w:rsidP="003234B4">
      <w:pPr>
        <w:jc w:val="both"/>
        <w:rPr>
          <w:b/>
          <w:bCs/>
        </w:rPr>
      </w:pPr>
      <w:r w:rsidRPr="610330F1">
        <w:rPr>
          <w:b/>
          <w:bCs/>
        </w:rPr>
        <w:t>Observation 2: The agreed principle (in RAN2#123) on storing QoE report in AS buffer, if UL data arrives, but the configured SRB is not available, needs to distinguish container-based QoE report and RV-QoE report.</w:t>
      </w:r>
    </w:p>
    <w:p w14:paraId="6E24B0F4" w14:textId="7E24285D" w:rsidR="009339CB" w:rsidRDefault="009339CB" w:rsidP="009339CB">
      <w:r>
        <w:t xml:space="preserve">This document has made the following </w:t>
      </w:r>
      <w:r w:rsidR="00CF3F9E">
        <w:t>proposals</w:t>
      </w:r>
      <w:r>
        <w:t>:</w:t>
      </w:r>
    </w:p>
    <w:p w14:paraId="235B0B33" w14:textId="77777777" w:rsidR="003234B4" w:rsidRPr="00BF109E" w:rsidRDefault="003234B4" w:rsidP="003234B4">
      <w:pPr>
        <w:rPr>
          <w:b/>
          <w:bCs/>
        </w:rPr>
      </w:pPr>
      <w:r w:rsidRPr="00BF109E">
        <w:rPr>
          <w:b/>
          <w:bCs/>
        </w:rPr>
        <w:t xml:space="preserve">Proposal 1: To support two different reporting leg indications for container-based QoE and RVQoE, </w:t>
      </w:r>
      <w:r>
        <w:rPr>
          <w:b/>
          <w:bCs/>
        </w:rPr>
        <w:t>gNB</w:t>
      </w:r>
      <w:r w:rsidRPr="00BF109E">
        <w:rPr>
          <w:b/>
          <w:bCs/>
        </w:rPr>
        <w:t xml:space="preserve"> can explicitly indicate SRB for reporting for each of the QoE configurations.</w:t>
      </w:r>
    </w:p>
    <w:p w14:paraId="276038EA" w14:textId="77777777" w:rsidR="003234B4" w:rsidRDefault="003234B4" w:rsidP="003234B4">
      <w:pPr>
        <w:jc w:val="both"/>
        <w:rPr>
          <w:b/>
          <w:bCs/>
        </w:rPr>
      </w:pPr>
      <w:r>
        <w:rPr>
          <w:b/>
          <w:bCs/>
        </w:rPr>
        <w:t xml:space="preserve">Proposal 2: Storing QoE report in AS buffer, if UL data arrives, but </w:t>
      </w:r>
      <w:r w:rsidRPr="00BF109E">
        <w:rPr>
          <w:b/>
          <w:bCs/>
        </w:rPr>
        <w:t>the configur</w:t>
      </w:r>
      <w:r>
        <w:rPr>
          <w:b/>
          <w:bCs/>
        </w:rPr>
        <w:t>e</w:t>
      </w:r>
      <w:r w:rsidRPr="00BF109E">
        <w:rPr>
          <w:b/>
          <w:bCs/>
        </w:rPr>
        <w:t>d SRB is not available</w:t>
      </w:r>
      <w:r>
        <w:rPr>
          <w:b/>
          <w:bCs/>
        </w:rPr>
        <w:t>, can apply to container-based QoE.</w:t>
      </w:r>
    </w:p>
    <w:p w14:paraId="31742793" w14:textId="77777777" w:rsidR="003234B4" w:rsidRDefault="003234B4" w:rsidP="003234B4">
      <w:pPr>
        <w:jc w:val="both"/>
        <w:rPr>
          <w:b/>
          <w:bCs/>
        </w:rPr>
      </w:pPr>
      <w:r w:rsidRPr="261DAD44">
        <w:rPr>
          <w:b/>
          <w:bCs/>
        </w:rPr>
        <w:t xml:space="preserve">Proposal </w:t>
      </w:r>
      <w:r>
        <w:rPr>
          <w:b/>
          <w:bCs/>
        </w:rPr>
        <w:t>3</w:t>
      </w:r>
      <w:r w:rsidRPr="261DAD44">
        <w:rPr>
          <w:b/>
          <w:bCs/>
        </w:rPr>
        <w:t>:</w:t>
      </w:r>
      <w:r>
        <w:rPr>
          <w:b/>
          <w:bCs/>
        </w:rPr>
        <w:t xml:space="preserve"> For RAN-visible QoE, gNB provides instruction to the UE on the report handling upon the UE detects corresponding SRB for reporting is unavailable. FFS what options are allowed:</w:t>
      </w:r>
    </w:p>
    <w:p w14:paraId="501EFF94" w14:textId="77777777" w:rsidR="003234B4" w:rsidRDefault="003234B4" w:rsidP="003234B4">
      <w:pPr>
        <w:pStyle w:val="ListParagraph"/>
        <w:numPr>
          <w:ilvl w:val="0"/>
          <w:numId w:val="32"/>
        </w:numPr>
        <w:jc w:val="both"/>
        <w:rPr>
          <w:b/>
          <w:bCs/>
        </w:rPr>
      </w:pPr>
      <w:r>
        <w:rPr>
          <w:b/>
          <w:bCs/>
        </w:rPr>
        <w:t xml:space="preserve">discard RV-QoE reports, </w:t>
      </w:r>
    </w:p>
    <w:p w14:paraId="503FAE0D" w14:textId="77777777" w:rsidR="003234B4" w:rsidRDefault="003234B4" w:rsidP="003234B4">
      <w:pPr>
        <w:pStyle w:val="ListParagraph"/>
        <w:numPr>
          <w:ilvl w:val="0"/>
          <w:numId w:val="32"/>
        </w:numPr>
        <w:jc w:val="both"/>
        <w:rPr>
          <w:b/>
          <w:bCs/>
        </w:rPr>
      </w:pPr>
      <w:r>
        <w:rPr>
          <w:b/>
          <w:bCs/>
        </w:rPr>
        <w:lastRenderedPageBreak/>
        <w:t>switch reporting leg,</w:t>
      </w:r>
    </w:p>
    <w:p w14:paraId="36050808" w14:textId="77777777" w:rsidR="003234B4" w:rsidRDefault="003234B4" w:rsidP="003234B4">
      <w:pPr>
        <w:pStyle w:val="ListParagraph"/>
        <w:numPr>
          <w:ilvl w:val="0"/>
          <w:numId w:val="32"/>
        </w:numPr>
        <w:jc w:val="both"/>
        <w:rPr>
          <w:b/>
          <w:bCs/>
        </w:rPr>
      </w:pPr>
      <w:r>
        <w:rPr>
          <w:b/>
          <w:bCs/>
        </w:rPr>
        <w:t>store in AS buffer until certain time or memory threshold.</w:t>
      </w:r>
    </w:p>
    <w:p w14:paraId="7A11F68A" w14:textId="77777777" w:rsidR="003234B4" w:rsidRDefault="003234B4" w:rsidP="003234B4">
      <w:pPr>
        <w:spacing w:after="0"/>
        <w:rPr>
          <w:b/>
          <w:bCs/>
        </w:rPr>
      </w:pPr>
      <w:r w:rsidRPr="610330F1">
        <w:rPr>
          <w:b/>
          <w:bCs/>
        </w:rPr>
        <w:t>Proposal 4: In case of SCG deactivation, for container-based QoE, the following principles can apply:</w:t>
      </w:r>
    </w:p>
    <w:p w14:paraId="1E2C11F5" w14:textId="77777777" w:rsidR="003234B4" w:rsidRDefault="003234B4" w:rsidP="003234B4">
      <w:pPr>
        <w:pStyle w:val="ListParagraph"/>
        <w:numPr>
          <w:ilvl w:val="0"/>
          <w:numId w:val="33"/>
        </w:numPr>
        <w:spacing w:after="0"/>
        <w:rPr>
          <w:b/>
          <w:bCs/>
        </w:rPr>
      </w:pPr>
      <w:r w:rsidRPr="00AD51F8">
        <w:rPr>
          <w:b/>
          <w:bCs/>
        </w:rPr>
        <w:t>UE can store QoE report in AS buffer, if UL data arrives</w:t>
      </w:r>
      <w:r>
        <w:rPr>
          <w:b/>
          <w:bCs/>
        </w:rPr>
        <w:t xml:space="preserve"> (as agreed in RAN2#123),</w:t>
      </w:r>
    </w:p>
    <w:p w14:paraId="1BB9A75E" w14:textId="77777777" w:rsidR="003234B4" w:rsidRDefault="003234B4" w:rsidP="003234B4">
      <w:pPr>
        <w:pStyle w:val="ListParagraph"/>
        <w:numPr>
          <w:ilvl w:val="0"/>
          <w:numId w:val="33"/>
        </w:numPr>
        <w:spacing w:after="0"/>
        <w:rPr>
          <w:b/>
          <w:bCs/>
        </w:rPr>
      </w:pPr>
      <w:r w:rsidRPr="610330F1">
        <w:rPr>
          <w:b/>
          <w:bCs/>
        </w:rPr>
        <w:t xml:space="preserve">gNB can pause QoE reporting (up to NW implementation), </w:t>
      </w:r>
    </w:p>
    <w:p w14:paraId="3C567FF0" w14:textId="77777777" w:rsidR="003234B4" w:rsidRDefault="003234B4" w:rsidP="003234B4">
      <w:pPr>
        <w:pStyle w:val="ListParagraph"/>
        <w:numPr>
          <w:ilvl w:val="0"/>
          <w:numId w:val="33"/>
        </w:numPr>
        <w:spacing w:after="0"/>
        <w:rPr>
          <w:b/>
          <w:bCs/>
        </w:rPr>
      </w:pPr>
      <w:r w:rsidRPr="610330F1">
        <w:rPr>
          <w:b/>
          <w:bCs/>
        </w:rPr>
        <w:t xml:space="preserve">gNB can decide to switch reporting leg (up to NW configuration). </w:t>
      </w:r>
    </w:p>
    <w:p w14:paraId="79D99E3E" w14:textId="77777777" w:rsidR="003234B4" w:rsidRPr="000B5108" w:rsidRDefault="003234B4" w:rsidP="003234B4">
      <w:pPr>
        <w:pStyle w:val="ListParagraph"/>
        <w:spacing w:after="0"/>
        <w:rPr>
          <w:b/>
          <w:bCs/>
        </w:rPr>
      </w:pPr>
    </w:p>
    <w:p w14:paraId="5D76FC44" w14:textId="77777777" w:rsidR="003234B4" w:rsidRDefault="003234B4" w:rsidP="003234B4">
      <w:pPr>
        <w:spacing w:after="0"/>
        <w:rPr>
          <w:b/>
          <w:bCs/>
          <w:lang w:eastAsia="zh-CN"/>
        </w:rPr>
      </w:pPr>
      <w:r w:rsidRPr="610330F1">
        <w:rPr>
          <w:b/>
          <w:bCs/>
        </w:rPr>
        <w:t xml:space="preserve">Proposal 5: In case of SCG deactivation, for RVQoE gNB provides </w:t>
      </w:r>
      <w:r w:rsidRPr="610330F1">
        <w:rPr>
          <w:b/>
          <w:bCs/>
          <w:lang w:eastAsia="zh-CN"/>
        </w:rPr>
        <w:t xml:space="preserve">additional RRC configuration to UE, to indicate how to deal with the QoE reporting configured to be transmitted via SRB5. </w:t>
      </w:r>
    </w:p>
    <w:p w14:paraId="38B8B3FD" w14:textId="77777777" w:rsidR="003234B4" w:rsidRPr="00AC68C6" w:rsidRDefault="003234B4" w:rsidP="003234B4">
      <w:pPr>
        <w:rPr>
          <w:b/>
          <w:bCs/>
          <w:lang w:eastAsia="zh-CN"/>
        </w:rPr>
      </w:pPr>
      <w:r w:rsidRPr="00AC68C6">
        <w:rPr>
          <w:b/>
          <w:bCs/>
          <w:lang w:eastAsia="zh-CN"/>
        </w:rPr>
        <w:t>FFS what options are allowed for RVQoE  configuration update</w:t>
      </w:r>
      <w:r w:rsidRPr="00AC68C6">
        <w:rPr>
          <w:b/>
          <w:bCs/>
        </w:rPr>
        <w:t xml:space="preserve"> if QoE data is available for transmission</w:t>
      </w:r>
      <w:r w:rsidRPr="00AC68C6">
        <w:rPr>
          <w:b/>
          <w:bCs/>
          <w:lang w:eastAsia="zh-CN"/>
        </w:rPr>
        <w:t xml:space="preserve">: </w:t>
      </w:r>
    </w:p>
    <w:p w14:paraId="20DDD158" w14:textId="77777777" w:rsidR="003234B4" w:rsidRDefault="003234B4" w:rsidP="003234B4">
      <w:pPr>
        <w:pStyle w:val="ListParagraph"/>
        <w:numPr>
          <w:ilvl w:val="0"/>
          <w:numId w:val="34"/>
        </w:numPr>
        <w:rPr>
          <w:b/>
          <w:bCs/>
        </w:rPr>
      </w:pPr>
      <w:r w:rsidRPr="00171B08">
        <w:rPr>
          <w:b/>
          <w:bCs/>
        </w:rPr>
        <w:t>discard reports</w:t>
      </w:r>
      <w:r>
        <w:rPr>
          <w:b/>
          <w:bCs/>
        </w:rPr>
        <w:t xml:space="preserve"> (specifically for RVQoE)</w:t>
      </w:r>
    </w:p>
    <w:p w14:paraId="78B4EE0A" w14:textId="77777777" w:rsidR="003234B4" w:rsidRPr="00AC68C6" w:rsidRDefault="003234B4" w:rsidP="003234B4">
      <w:pPr>
        <w:pStyle w:val="ListParagraph"/>
        <w:numPr>
          <w:ilvl w:val="0"/>
          <w:numId w:val="34"/>
        </w:numPr>
        <w:rPr>
          <w:b/>
          <w:bCs/>
        </w:rPr>
      </w:pPr>
      <w:r w:rsidRPr="00AC68C6">
        <w:rPr>
          <w:b/>
          <w:bCs/>
        </w:rPr>
        <w:t xml:space="preserve">switch reporting leg </w:t>
      </w:r>
      <w:r>
        <w:rPr>
          <w:b/>
          <w:bCs/>
        </w:rPr>
        <w:t xml:space="preserve">(specifically for RVQoE: </w:t>
      </w:r>
      <w:r w:rsidRPr="00AC68C6">
        <w:rPr>
          <w:b/>
          <w:bCs/>
        </w:rPr>
        <w:t xml:space="preserve">from SRB5 to SRB4 to send associated reports via MN), </w:t>
      </w:r>
    </w:p>
    <w:p w14:paraId="501CE400" w14:textId="77777777" w:rsidR="003234B4" w:rsidRPr="00AD51F8" w:rsidRDefault="003234B4" w:rsidP="003234B4">
      <w:pPr>
        <w:pStyle w:val="ListParagraph"/>
        <w:numPr>
          <w:ilvl w:val="0"/>
          <w:numId w:val="34"/>
        </w:numPr>
        <w:rPr>
          <w:b/>
          <w:bCs/>
        </w:rPr>
      </w:pPr>
      <w:r w:rsidRPr="46A5C3A7">
        <w:rPr>
          <w:b/>
          <w:bCs/>
        </w:rPr>
        <w:t>trigger UEAssistanceInformation to reactivate SCG (specifically for RV-QoE if SRB4 is not configured).</w:t>
      </w:r>
    </w:p>
    <w:p w14:paraId="362D92A4" w14:textId="77777777" w:rsidR="003234B4" w:rsidRPr="006E13D1" w:rsidRDefault="003234B4" w:rsidP="00AC68C6">
      <w:pPr>
        <w:spacing w:after="0"/>
      </w:pPr>
    </w:p>
    <w:sectPr w:rsidR="003234B4"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3B647" w14:textId="77777777" w:rsidR="009604F3" w:rsidRDefault="009604F3">
      <w:r>
        <w:separator/>
      </w:r>
    </w:p>
  </w:endnote>
  <w:endnote w:type="continuationSeparator" w:id="0">
    <w:p w14:paraId="71078077" w14:textId="77777777" w:rsidR="009604F3" w:rsidRDefault="009604F3">
      <w:r>
        <w:continuationSeparator/>
      </w:r>
    </w:p>
  </w:endnote>
  <w:endnote w:type="continuationNotice" w:id="1">
    <w:p w14:paraId="4EB77313" w14:textId="77777777" w:rsidR="009604F3" w:rsidRDefault="00960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6FF64" w14:textId="77777777" w:rsidR="009604F3" w:rsidRDefault="009604F3">
      <w:r>
        <w:separator/>
      </w:r>
    </w:p>
  </w:footnote>
  <w:footnote w:type="continuationSeparator" w:id="0">
    <w:p w14:paraId="1CAB4F0F" w14:textId="77777777" w:rsidR="009604F3" w:rsidRDefault="009604F3">
      <w:r>
        <w:continuationSeparator/>
      </w:r>
    </w:p>
  </w:footnote>
  <w:footnote w:type="continuationNotice" w:id="1">
    <w:p w14:paraId="13C30DC2" w14:textId="77777777" w:rsidR="009604F3" w:rsidRDefault="009604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976A0"/>
    <w:multiLevelType w:val="hybridMultilevel"/>
    <w:tmpl w:val="C7DA748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6812DE5"/>
    <w:multiLevelType w:val="hybridMultilevel"/>
    <w:tmpl w:val="56B6D8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40513E"/>
    <w:multiLevelType w:val="hybridMultilevel"/>
    <w:tmpl w:val="430A49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D375CA"/>
    <w:multiLevelType w:val="hybridMultilevel"/>
    <w:tmpl w:val="56B6D8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9B1014"/>
    <w:multiLevelType w:val="hybridMultilevel"/>
    <w:tmpl w:val="C7DA7486"/>
    <w:lvl w:ilvl="0" w:tplc="E8128348">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8" w15:restartNumberingAfterBreak="0">
    <w:nsid w:val="1F2C217E"/>
    <w:multiLevelType w:val="multilevel"/>
    <w:tmpl w:val="5218C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C76FC8"/>
    <w:multiLevelType w:val="hybridMultilevel"/>
    <w:tmpl w:val="D46CE856"/>
    <w:lvl w:ilvl="0" w:tplc="C3DC810E">
      <w:start w:val="1"/>
      <w:numFmt w:val="bullet"/>
      <w:lvlText w:val=""/>
      <w:lvlJc w:val="left"/>
      <w:pPr>
        <w:ind w:left="720" w:hanging="360"/>
      </w:pPr>
      <w:rPr>
        <w:rFonts w:ascii="Symbol" w:hAnsi="Symbol" w:hint="default"/>
      </w:rPr>
    </w:lvl>
    <w:lvl w:ilvl="1" w:tplc="5DD8B180">
      <w:start w:val="1"/>
      <w:numFmt w:val="bullet"/>
      <w:lvlText w:val=""/>
      <w:lvlJc w:val="left"/>
      <w:pPr>
        <w:ind w:left="1440" w:hanging="360"/>
      </w:pPr>
      <w:rPr>
        <w:rFonts w:ascii="Symbol" w:hAnsi="Symbol" w:hint="default"/>
      </w:rPr>
    </w:lvl>
    <w:lvl w:ilvl="2" w:tplc="1ECE4A9C">
      <w:start w:val="1"/>
      <w:numFmt w:val="bullet"/>
      <w:lvlText w:val=""/>
      <w:lvlJc w:val="left"/>
      <w:pPr>
        <w:ind w:left="2160" w:hanging="360"/>
      </w:pPr>
      <w:rPr>
        <w:rFonts w:ascii="Wingdings" w:hAnsi="Wingdings" w:hint="default"/>
      </w:rPr>
    </w:lvl>
    <w:lvl w:ilvl="3" w:tplc="B1000182">
      <w:start w:val="1"/>
      <w:numFmt w:val="bullet"/>
      <w:lvlText w:val=""/>
      <w:lvlJc w:val="left"/>
      <w:pPr>
        <w:ind w:left="2880" w:hanging="360"/>
      </w:pPr>
      <w:rPr>
        <w:rFonts w:ascii="Symbol" w:hAnsi="Symbol" w:hint="default"/>
      </w:rPr>
    </w:lvl>
    <w:lvl w:ilvl="4" w:tplc="2D78DBDC">
      <w:start w:val="1"/>
      <w:numFmt w:val="bullet"/>
      <w:lvlText w:val="o"/>
      <w:lvlJc w:val="left"/>
      <w:pPr>
        <w:ind w:left="3600" w:hanging="360"/>
      </w:pPr>
      <w:rPr>
        <w:rFonts w:ascii="Courier New" w:hAnsi="Courier New" w:hint="default"/>
      </w:rPr>
    </w:lvl>
    <w:lvl w:ilvl="5" w:tplc="242E5302">
      <w:start w:val="1"/>
      <w:numFmt w:val="bullet"/>
      <w:lvlText w:val=""/>
      <w:lvlJc w:val="left"/>
      <w:pPr>
        <w:ind w:left="4320" w:hanging="360"/>
      </w:pPr>
      <w:rPr>
        <w:rFonts w:ascii="Wingdings" w:hAnsi="Wingdings" w:hint="default"/>
      </w:rPr>
    </w:lvl>
    <w:lvl w:ilvl="6" w:tplc="056EBDD0">
      <w:start w:val="1"/>
      <w:numFmt w:val="bullet"/>
      <w:lvlText w:val=""/>
      <w:lvlJc w:val="left"/>
      <w:pPr>
        <w:ind w:left="5040" w:hanging="360"/>
      </w:pPr>
      <w:rPr>
        <w:rFonts w:ascii="Symbol" w:hAnsi="Symbol" w:hint="default"/>
      </w:rPr>
    </w:lvl>
    <w:lvl w:ilvl="7" w:tplc="73D8BC60">
      <w:start w:val="1"/>
      <w:numFmt w:val="bullet"/>
      <w:lvlText w:val="o"/>
      <w:lvlJc w:val="left"/>
      <w:pPr>
        <w:ind w:left="5760" w:hanging="360"/>
      </w:pPr>
      <w:rPr>
        <w:rFonts w:ascii="Courier New" w:hAnsi="Courier New" w:hint="default"/>
      </w:rPr>
    </w:lvl>
    <w:lvl w:ilvl="8" w:tplc="5DCE27B8">
      <w:start w:val="1"/>
      <w:numFmt w:val="bullet"/>
      <w:lvlText w:val=""/>
      <w:lvlJc w:val="left"/>
      <w:pPr>
        <w:ind w:left="6480" w:hanging="360"/>
      </w:pPr>
      <w:rPr>
        <w:rFonts w:ascii="Wingdings" w:hAnsi="Wingdings" w:hint="default"/>
      </w:rPr>
    </w:lvl>
  </w:abstractNum>
  <w:abstractNum w:abstractNumId="10" w15:restartNumberingAfterBreak="0">
    <w:nsid w:val="2C1738CC"/>
    <w:multiLevelType w:val="multilevel"/>
    <w:tmpl w:val="75E8E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877901"/>
    <w:multiLevelType w:val="hybridMultilevel"/>
    <w:tmpl w:val="C56A1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340463"/>
    <w:multiLevelType w:val="hybridMultilevel"/>
    <w:tmpl w:val="430A499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C57BD7"/>
    <w:multiLevelType w:val="hybridMultilevel"/>
    <w:tmpl w:val="9A681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F2D4FF8"/>
    <w:multiLevelType w:val="multilevel"/>
    <w:tmpl w:val="67E8C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8229C9"/>
    <w:multiLevelType w:val="hybridMultilevel"/>
    <w:tmpl w:val="56B6D8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D94F0C"/>
    <w:multiLevelType w:val="hybridMultilevel"/>
    <w:tmpl w:val="FFFFFFFF"/>
    <w:lvl w:ilvl="0" w:tplc="3498F6BE">
      <w:start w:val="1"/>
      <w:numFmt w:val="lowerLetter"/>
      <w:lvlText w:val="%1."/>
      <w:lvlJc w:val="left"/>
      <w:pPr>
        <w:ind w:left="1636" w:hanging="360"/>
      </w:pPr>
    </w:lvl>
    <w:lvl w:ilvl="1" w:tplc="77709CE8">
      <w:start w:val="1"/>
      <w:numFmt w:val="lowerLetter"/>
      <w:lvlText w:val="%2."/>
      <w:lvlJc w:val="left"/>
      <w:pPr>
        <w:ind w:left="1440" w:hanging="360"/>
      </w:pPr>
    </w:lvl>
    <w:lvl w:ilvl="2" w:tplc="12D86902">
      <w:start w:val="1"/>
      <w:numFmt w:val="lowerRoman"/>
      <w:lvlText w:val="%3."/>
      <w:lvlJc w:val="right"/>
      <w:pPr>
        <w:ind w:left="2160" w:hanging="180"/>
      </w:pPr>
    </w:lvl>
    <w:lvl w:ilvl="3" w:tplc="F9EEDA78">
      <w:start w:val="1"/>
      <w:numFmt w:val="decimal"/>
      <w:lvlText w:val="%4."/>
      <w:lvlJc w:val="left"/>
      <w:pPr>
        <w:ind w:left="2880" w:hanging="360"/>
      </w:pPr>
    </w:lvl>
    <w:lvl w:ilvl="4" w:tplc="B16C10DE">
      <w:start w:val="1"/>
      <w:numFmt w:val="lowerLetter"/>
      <w:lvlText w:val="%5."/>
      <w:lvlJc w:val="left"/>
      <w:pPr>
        <w:ind w:left="3600" w:hanging="360"/>
      </w:pPr>
    </w:lvl>
    <w:lvl w:ilvl="5" w:tplc="9C00415C">
      <w:start w:val="1"/>
      <w:numFmt w:val="lowerRoman"/>
      <w:lvlText w:val="%6."/>
      <w:lvlJc w:val="right"/>
      <w:pPr>
        <w:ind w:left="4320" w:hanging="180"/>
      </w:pPr>
    </w:lvl>
    <w:lvl w:ilvl="6" w:tplc="D592C648">
      <w:start w:val="1"/>
      <w:numFmt w:val="decimal"/>
      <w:lvlText w:val="%7."/>
      <w:lvlJc w:val="left"/>
      <w:pPr>
        <w:ind w:left="5040" w:hanging="360"/>
      </w:pPr>
    </w:lvl>
    <w:lvl w:ilvl="7" w:tplc="3BE8B31E">
      <w:start w:val="1"/>
      <w:numFmt w:val="lowerLetter"/>
      <w:lvlText w:val="%8."/>
      <w:lvlJc w:val="left"/>
      <w:pPr>
        <w:ind w:left="5760" w:hanging="360"/>
      </w:pPr>
    </w:lvl>
    <w:lvl w:ilvl="8" w:tplc="1EB467DA">
      <w:start w:val="1"/>
      <w:numFmt w:val="lowerRoman"/>
      <w:lvlText w:val="%9."/>
      <w:lvlJc w:val="right"/>
      <w:pPr>
        <w:ind w:left="6480" w:hanging="180"/>
      </w:pPr>
    </w:lvl>
  </w:abstractNum>
  <w:abstractNum w:abstractNumId="19" w15:restartNumberingAfterBreak="0">
    <w:nsid w:val="4388701D"/>
    <w:multiLevelType w:val="hybridMultilevel"/>
    <w:tmpl w:val="C9C2C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7E6553C"/>
    <w:multiLevelType w:val="hybridMultilevel"/>
    <w:tmpl w:val="C7DA7486"/>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5D293ABC"/>
    <w:multiLevelType w:val="singleLevel"/>
    <w:tmpl w:val="5D293ABC"/>
    <w:lvl w:ilvl="0">
      <w:start w:val="1"/>
      <w:numFmt w:val="bullet"/>
      <w:lvlText w:val="•"/>
      <w:lvlJc w:val="left"/>
      <w:pPr>
        <w:ind w:left="420" w:hanging="420"/>
      </w:pPr>
      <w:rPr>
        <w:rFonts w:ascii="Arial" w:hAnsi="Arial" w:cs="Arial" w:hint="default"/>
      </w:rPr>
    </w:lvl>
  </w:abstractNum>
  <w:abstractNum w:abstractNumId="24" w15:restartNumberingAfterBreak="0">
    <w:nsid w:val="69010904"/>
    <w:multiLevelType w:val="hybridMultilevel"/>
    <w:tmpl w:val="C7DA748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4C2DFA"/>
    <w:multiLevelType w:val="hybridMultilevel"/>
    <w:tmpl w:val="2F32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604783"/>
    <w:multiLevelType w:val="hybridMultilevel"/>
    <w:tmpl w:val="7B1ED150"/>
    <w:lvl w:ilvl="0" w:tplc="39C24FA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400D62"/>
    <w:multiLevelType w:val="multilevel"/>
    <w:tmpl w:val="3836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FC4733"/>
    <w:multiLevelType w:val="hybridMultilevel"/>
    <w:tmpl w:val="C7DA7486"/>
    <w:lvl w:ilvl="0" w:tplc="FFFFFFFF">
      <w:start w:val="1"/>
      <w:numFmt w:val="lowerLetter"/>
      <w:lvlText w:val="%1."/>
      <w:lvlJc w:val="left"/>
      <w:pPr>
        <w:ind w:left="1636" w:hanging="360"/>
      </w:p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30" w15:restartNumberingAfterBreak="0">
    <w:nsid w:val="75A85AF7"/>
    <w:multiLevelType w:val="hybridMultilevel"/>
    <w:tmpl w:val="FFFFFFFF"/>
    <w:lvl w:ilvl="0" w:tplc="C2420938">
      <w:start w:val="1"/>
      <w:numFmt w:val="lowerLetter"/>
      <w:lvlText w:val="%1."/>
      <w:lvlJc w:val="left"/>
      <w:pPr>
        <w:ind w:left="1636" w:hanging="360"/>
      </w:pPr>
    </w:lvl>
    <w:lvl w:ilvl="1" w:tplc="14265A34">
      <w:start w:val="1"/>
      <w:numFmt w:val="lowerLetter"/>
      <w:lvlText w:val="%2."/>
      <w:lvlJc w:val="left"/>
      <w:pPr>
        <w:ind w:left="2356" w:hanging="360"/>
      </w:pPr>
    </w:lvl>
    <w:lvl w:ilvl="2" w:tplc="D04A3976">
      <w:start w:val="1"/>
      <w:numFmt w:val="lowerRoman"/>
      <w:lvlText w:val="%3."/>
      <w:lvlJc w:val="right"/>
      <w:pPr>
        <w:ind w:left="3076" w:hanging="180"/>
      </w:pPr>
    </w:lvl>
    <w:lvl w:ilvl="3" w:tplc="F41C6A84">
      <w:start w:val="1"/>
      <w:numFmt w:val="decimal"/>
      <w:lvlText w:val="%4."/>
      <w:lvlJc w:val="left"/>
      <w:pPr>
        <w:ind w:left="3796" w:hanging="360"/>
      </w:pPr>
    </w:lvl>
    <w:lvl w:ilvl="4" w:tplc="C0040212">
      <w:start w:val="1"/>
      <w:numFmt w:val="lowerLetter"/>
      <w:lvlText w:val="%5."/>
      <w:lvlJc w:val="left"/>
      <w:pPr>
        <w:ind w:left="4516" w:hanging="360"/>
      </w:pPr>
    </w:lvl>
    <w:lvl w:ilvl="5" w:tplc="E102C1E4">
      <w:start w:val="1"/>
      <w:numFmt w:val="lowerRoman"/>
      <w:lvlText w:val="%6."/>
      <w:lvlJc w:val="right"/>
      <w:pPr>
        <w:ind w:left="5236" w:hanging="180"/>
      </w:pPr>
    </w:lvl>
    <w:lvl w:ilvl="6" w:tplc="E2EAA578">
      <w:start w:val="1"/>
      <w:numFmt w:val="decimal"/>
      <w:lvlText w:val="%7."/>
      <w:lvlJc w:val="left"/>
      <w:pPr>
        <w:ind w:left="5956" w:hanging="360"/>
      </w:pPr>
    </w:lvl>
    <w:lvl w:ilvl="7" w:tplc="9E2C6DB6">
      <w:start w:val="1"/>
      <w:numFmt w:val="lowerLetter"/>
      <w:lvlText w:val="%8."/>
      <w:lvlJc w:val="left"/>
      <w:pPr>
        <w:ind w:left="6676" w:hanging="360"/>
      </w:pPr>
    </w:lvl>
    <w:lvl w:ilvl="8" w:tplc="388CD5CC">
      <w:start w:val="1"/>
      <w:numFmt w:val="lowerRoman"/>
      <w:lvlText w:val="%9."/>
      <w:lvlJc w:val="right"/>
      <w:pPr>
        <w:ind w:left="7396" w:hanging="180"/>
      </w:pPr>
    </w:lvl>
  </w:abstractNum>
  <w:abstractNum w:abstractNumId="31" w15:restartNumberingAfterBreak="0">
    <w:nsid w:val="764D416D"/>
    <w:multiLevelType w:val="multilevel"/>
    <w:tmpl w:val="7006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start w:val="1"/>
      <w:numFmt w:val="bullet"/>
      <w:lvlText w:val="o"/>
      <w:lvlJc w:val="left"/>
      <w:pPr>
        <w:ind w:left="1487" w:hanging="360"/>
      </w:pPr>
      <w:rPr>
        <w:rFonts w:ascii="Courier New" w:hAnsi="Courier New" w:cs="Courier New" w:hint="default"/>
      </w:rPr>
    </w:lvl>
    <w:lvl w:ilvl="2" w:tplc="20000005">
      <w:start w:val="1"/>
      <w:numFmt w:val="bullet"/>
      <w:lvlText w:val=""/>
      <w:lvlJc w:val="left"/>
      <w:pPr>
        <w:ind w:left="2207" w:hanging="360"/>
      </w:pPr>
      <w:rPr>
        <w:rFonts w:ascii="Wingdings" w:hAnsi="Wingdings" w:hint="default"/>
      </w:rPr>
    </w:lvl>
    <w:lvl w:ilvl="3" w:tplc="20000001">
      <w:start w:val="1"/>
      <w:numFmt w:val="bullet"/>
      <w:lvlText w:val=""/>
      <w:lvlJc w:val="left"/>
      <w:pPr>
        <w:ind w:left="2927" w:hanging="360"/>
      </w:pPr>
      <w:rPr>
        <w:rFonts w:ascii="Symbol" w:hAnsi="Symbol" w:hint="default"/>
      </w:rPr>
    </w:lvl>
    <w:lvl w:ilvl="4" w:tplc="20000003">
      <w:start w:val="1"/>
      <w:numFmt w:val="bullet"/>
      <w:lvlText w:val="o"/>
      <w:lvlJc w:val="left"/>
      <w:pPr>
        <w:ind w:left="3647" w:hanging="360"/>
      </w:pPr>
      <w:rPr>
        <w:rFonts w:ascii="Courier New" w:hAnsi="Courier New" w:cs="Courier New" w:hint="default"/>
      </w:rPr>
    </w:lvl>
    <w:lvl w:ilvl="5" w:tplc="20000005">
      <w:start w:val="1"/>
      <w:numFmt w:val="bullet"/>
      <w:lvlText w:val=""/>
      <w:lvlJc w:val="left"/>
      <w:pPr>
        <w:ind w:left="4367" w:hanging="360"/>
      </w:pPr>
      <w:rPr>
        <w:rFonts w:ascii="Wingdings" w:hAnsi="Wingdings" w:hint="default"/>
      </w:rPr>
    </w:lvl>
    <w:lvl w:ilvl="6" w:tplc="20000001">
      <w:start w:val="1"/>
      <w:numFmt w:val="bullet"/>
      <w:lvlText w:val=""/>
      <w:lvlJc w:val="left"/>
      <w:pPr>
        <w:ind w:left="5087" w:hanging="360"/>
      </w:pPr>
      <w:rPr>
        <w:rFonts w:ascii="Symbol" w:hAnsi="Symbol" w:hint="default"/>
      </w:rPr>
    </w:lvl>
    <w:lvl w:ilvl="7" w:tplc="20000003">
      <w:start w:val="1"/>
      <w:numFmt w:val="bullet"/>
      <w:lvlText w:val="o"/>
      <w:lvlJc w:val="left"/>
      <w:pPr>
        <w:ind w:left="5807" w:hanging="360"/>
      </w:pPr>
      <w:rPr>
        <w:rFonts w:ascii="Courier New" w:hAnsi="Courier New" w:cs="Courier New" w:hint="default"/>
      </w:rPr>
    </w:lvl>
    <w:lvl w:ilvl="8" w:tplc="20000005">
      <w:start w:val="1"/>
      <w:numFmt w:val="bullet"/>
      <w:lvlText w:val=""/>
      <w:lvlJc w:val="left"/>
      <w:pPr>
        <w:ind w:left="6527" w:hanging="360"/>
      </w:pPr>
      <w:rPr>
        <w:rFonts w:ascii="Wingdings" w:hAnsi="Wingdings" w:hint="default"/>
      </w:rPr>
    </w:lvl>
  </w:abstractNum>
  <w:num w:numId="1" w16cid:durableId="1199854871">
    <w:abstractNumId w:val="18"/>
  </w:num>
  <w:num w:numId="2" w16cid:durableId="1617835323">
    <w:abstractNumId w:val="30"/>
  </w:num>
  <w:num w:numId="3"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489253310">
    <w:abstractNumId w:val="1"/>
  </w:num>
  <w:num w:numId="6" w16cid:durableId="199124208">
    <w:abstractNumId w:val="13"/>
  </w:num>
  <w:num w:numId="7" w16cid:durableId="630793192">
    <w:abstractNumId w:val="11"/>
  </w:num>
  <w:num w:numId="8" w16cid:durableId="1154301696">
    <w:abstractNumId w:val="20"/>
  </w:num>
  <w:num w:numId="9" w16cid:durableId="1489399165">
    <w:abstractNumId w:val="21"/>
  </w:num>
  <w:num w:numId="10" w16cid:durableId="1706557714">
    <w:abstractNumId w:val="12"/>
  </w:num>
  <w:num w:numId="11" w16cid:durableId="942880626">
    <w:abstractNumId w:val="4"/>
  </w:num>
  <w:num w:numId="12" w16cid:durableId="1341201802">
    <w:abstractNumId w:val="15"/>
  </w:num>
  <w:num w:numId="13" w16cid:durableId="311914350">
    <w:abstractNumId w:val="32"/>
  </w:num>
  <w:num w:numId="14" w16cid:durableId="2067216837">
    <w:abstractNumId w:val="26"/>
  </w:num>
  <w:num w:numId="15" w16cid:durableId="1679043430">
    <w:abstractNumId w:val="25"/>
  </w:num>
  <w:num w:numId="16" w16cid:durableId="967273828">
    <w:abstractNumId w:val="19"/>
  </w:num>
  <w:num w:numId="17" w16cid:durableId="382145178">
    <w:abstractNumId w:val="28"/>
  </w:num>
  <w:num w:numId="18" w16cid:durableId="1730377192">
    <w:abstractNumId w:val="16"/>
  </w:num>
  <w:num w:numId="19" w16cid:durableId="21127109">
    <w:abstractNumId w:val="8"/>
  </w:num>
  <w:num w:numId="20" w16cid:durableId="1301576257">
    <w:abstractNumId w:val="10"/>
  </w:num>
  <w:num w:numId="21" w16cid:durableId="1694961458">
    <w:abstractNumId w:val="31"/>
  </w:num>
  <w:num w:numId="22" w16cid:durableId="963000507">
    <w:abstractNumId w:val="9"/>
  </w:num>
  <w:num w:numId="23" w16cid:durableId="1000429099">
    <w:abstractNumId w:val="23"/>
  </w:num>
  <w:num w:numId="24" w16cid:durableId="31196393">
    <w:abstractNumId w:val="27"/>
  </w:num>
  <w:num w:numId="25" w16cid:durableId="1314722087">
    <w:abstractNumId w:val="3"/>
  </w:num>
  <w:num w:numId="26" w16cid:durableId="25063647">
    <w:abstractNumId w:val="7"/>
  </w:num>
  <w:num w:numId="27" w16cid:durableId="1010109662">
    <w:abstractNumId w:val="29"/>
  </w:num>
  <w:num w:numId="28" w16cid:durableId="1576354238">
    <w:abstractNumId w:val="6"/>
  </w:num>
  <w:num w:numId="29" w16cid:durableId="1789815376">
    <w:abstractNumId w:val="24"/>
  </w:num>
  <w:num w:numId="30" w16cid:durableId="1324966869">
    <w:abstractNumId w:val="5"/>
  </w:num>
  <w:num w:numId="31" w16cid:durableId="518784021">
    <w:abstractNumId w:val="22"/>
  </w:num>
  <w:num w:numId="32" w16cid:durableId="873616247">
    <w:abstractNumId w:val="17"/>
  </w:num>
  <w:num w:numId="33" w16cid:durableId="165557242">
    <w:abstractNumId w:val="14"/>
  </w:num>
  <w:num w:numId="34" w16cid:durableId="646127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32"/>
    <w:rsid w:val="00006C10"/>
    <w:rsid w:val="00016557"/>
    <w:rsid w:val="000201B9"/>
    <w:rsid w:val="00023C40"/>
    <w:rsid w:val="00033397"/>
    <w:rsid w:val="00040095"/>
    <w:rsid w:val="00041DD3"/>
    <w:rsid w:val="00051E0A"/>
    <w:rsid w:val="00064D8D"/>
    <w:rsid w:val="00065268"/>
    <w:rsid w:val="00073C9C"/>
    <w:rsid w:val="00076412"/>
    <w:rsid w:val="00080512"/>
    <w:rsid w:val="00082587"/>
    <w:rsid w:val="00082DAF"/>
    <w:rsid w:val="00090468"/>
    <w:rsid w:val="000916E0"/>
    <w:rsid w:val="00094568"/>
    <w:rsid w:val="000B4068"/>
    <w:rsid w:val="000B4D5B"/>
    <w:rsid w:val="000B5108"/>
    <w:rsid w:val="000B7BCF"/>
    <w:rsid w:val="000C1C2C"/>
    <w:rsid w:val="000C2401"/>
    <w:rsid w:val="000C522B"/>
    <w:rsid w:val="000D58AB"/>
    <w:rsid w:val="000E5E27"/>
    <w:rsid w:val="000F4F6C"/>
    <w:rsid w:val="000F766B"/>
    <w:rsid w:val="00112BF7"/>
    <w:rsid w:val="00112F1A"/>
    <w:rsid w:val="00114A61"/>
    <w:rsid w:val="00114F18"/>
    <w:rsid w:val="001258D6"/>
    <w:rsid w:val="00132E56"/>
    <w:rsid w:val="0013357E"/>
    <w:rsid w:val="001417AD"/>
    <w:rsid w:val="00145075"/>
    <w:rsid w:val="0015134F"/>
    <w:rsid w:val="001536B2"/>
    <w:rsid w:val="00171B08"/>
    <w:rsid w:val="001741A0"/>
    <w:rsid w:val="00175FA0"/>
    <w:rsid w:val="001801E2"/>
    <w:rsid w:val="0018207E"/>
    <w:rsid w:val="0018542A"/>
    <w:rsid w:val="00194CD0"/>
    <w:rsid w:val="001A4319"/>
    <w:rsid w:val="001A6D13"/>
    <w:rsid w:val="001B49C9"/>
    <w:rsid w:val="001C23F4"/>
    <w:rsid w:val="001C4F79"/>
    <w:rsid w:val="001D6300"/>
    <w:rsid w:val="001D6FD2"/>
    <w:rsid w:val="001E5F4C"/>
    <w:rsid w:val="001E7003"/>
    <w:rsid w:val="001F168B"/>
    <w:rsid w:val="001F7831"/>
    <w:rsid w:val="00204045"/>
    <w:rsid w:val="0020712B"/>
    <w:rsid w:val="0022151B"/>
    <w:rsid w:val="00221DFE"/>
    <w:rsid w:val="002246A8"/>
    <w:rsid w:val="0022606D"/>
    <w:rsid w:val="00231728"/>
    <w:rsid w:val="00231AE0"/>
    <w:rsid w:val="00232AE1"/>
    <w:rsid w:val="00244A05"/>
    <w:rsid w:val="00250404"/>
    <w:rsid w:val="002547C4"/>
    <w:rsid w:val="00256B74"/>
    <w:rsid w:val="002610D8"/>
    <w:rsid w:val="002747EC"/>
    <w:rsid w:val="002762AD"/>
    <w:rsid w:val="002855BF"/>
    <w:rsid w:val="00285788"/>
    <w:rsid w:val="002870FE"/>
    <w:rsid w:val="002928A1"/>
    <w:rsid w:val="002974EB"/>
    <w:rsid w:val="002A2AFA"/>
    <w:rsid w:val="002B2988"/>
    <w:rsid w:val="002B669B"/>
    <w:rsid w:val="002B7D65"/>
    <w:rsid w:val="002C0DD2"/>
    <w:rsid w:val="002C42D9"/>
    <w:rsid w:val="002C67D6"/>
    <w:rsid w:val="002D510D"/>
    <w:rsid w:val="002E09F1"/>
    <w:rsid w:val="002E45D1"/>
    <w:rsid w:val="002F0D22"/>
    <w:rsid w:val="0030763D"/>
    <w:rsid w:val="00311B17"/>
    <w:rsid w:val="00314BEC"/>
    <w:rsid w:val="003172DC"/>
    <w:rsid w:val="003234B4"/>
    <w:rsid w:val="003234FF"/>
    <w:rsid w:val="00325AE3"/>
    <w:rsid w:val="00326069"/>
    <w:rsid w:val="00327191"/>
    <w:rsid w:val="00337342"/>
    <w:rsid w:val="00337CEF"/>
    <w:rsid w:val="0035462D"/>
    <w:rsid w:val="0036134A"/>
    <w:rsid w:val="0036459E"/>
    <w:rsid w:val="00364B41"/>
    <w:rsid w:val="0037342D"/>
    <w:rsid w:val="00377731"/>
    <w:rsid w:val="00377BD4"/>
    <w:rsid w:val="00383096"/>
    <w:rsid w:val="00386E48"/>
    <w:rsid w:val="00387E0C"/>
    <w:rsid w:val="0039346C"/>
    <w:rsid w:val="003A41EF"/>
    <w:rsid w:val="003B40AD"/>
    <w:rsid w:val="003C4E37"/>
    <w:rsid w:val="003C731B"/>
    <w:rsid w:val="003D0FD0"/>
    <w:rsid w:val="003E16BE"/>
    <w:rsid w:val="003F4E28"/>
    <w:rsid w:val="004006E8"/>
    <w:rsid w:val="00401855"/>
    <w:rsid w:val="004206B6"/>
    <w:rsid w:val="004228C5"/>
    <w:rsid w:val="00441AD0"/>
    <w:rsid w:val="00446C3A"/>
    <w:rsid w:val="00447EF0"/>
    <w:rsid w:val="0046046D"/>
    <w:rsid w:val="00460F17"/>
    <w:rsid w:val="00465587"/>
    <w:rsid w:val="004678FC"/>
    <w:rsid w:val="00477455"/>
    <w:rsid w:val="00482709"/>
    <w:rsid w:val="00494FA0"/>
    <w:rsid w:val="004A0F63"/>
    <w:rsid w:val="004A1F7B"/>
    <w:rsid w:val="004A3DA7"/>
    <w:rsid w:val="004B1EFD"/>
    <w:rsid w:val="004B2618"/>
    <w:rsid w:val="004C44D2"/>
    <w:rsid w:val="004D3578"/>
    <w:rsid w:val="004D380D"/>
    <w:rsid w:val="004D3B43"/>
    <w:rsid w:val="004D5848"/>
    <w:rsid w:val="004E1260"/>
    <w:rsid w:val="004E132B"/>
    <w:rsid w:val="004E213A"/>
    <w:rsid w:val="004E6003"/>
    <w:rsid w:val="004E66E3"/>
    <w:rsid w:val="004E7553"/>
    <w:rsid w:val="004F4540"/>
    <w:rsid w:val="004F73A7"/>
    <w:rsid w:val="00500875"/>
    <w:rsid w:val="00503171"/>
    <w:rsid w:val="00506C28"/>
    <w:rsid w:val="005079D2"/>
    <w:rsid w:val="00514976"/>
    <w:rsid w:val="00523BBA"/>
    <w:rsid w:val="00532A2C"/>
    <w:rsid w:val="00533BA7"/>
    <w:rsid w:val="00534DA0"/>
    <w:rsid w:val="00537809"/>
    <w:rsid w:val="005437EE"/>
    <w:rsid w:val="00543E6C"/>
    <w:rsid w:val="00557A77"/>
    <w:rsid w:val="0056191B"/>
    <w:rsid w:val="00565087"/>
    <w:rsid w:val="0056573F"/>
    <w:rsid w:val="00567F63"/>
    <w:rsid w:val="00571279"/>
    <w:rsid w:val="005821B3"/>
    <w:rsid w:val="005822A9"/>
    <w:rsid w:val="00582536"/>
    <w:rsid w:val="00590523"/>
    <w:rsid w:val="00594056"/>
    <w:rsid w:val="005A13AB"/>
    <w:rsid w:val="005A49C6"/>
    <w:rsid w:val="005B1723"/>
    <w:rsid w:val="005B4E15"/>
    <w:rsid w:val="005B5F20"/>
    <w:rsid w:val="005C26C6"/>
    <w:rsid w:val="005C43FC"/>
    <w:rsid w:val="005C4F85"/>
    <w:rsid w:val="005C5F61"/>
    <w:rsid w:val="005C766E"/>
    <w:rsid w:val="005C7CD5"/>
    <w:rsid w:val="005F7F53"/>
    <w:rsid w:val="00611566"/>
    <w:rsid w:val="006128D0"/>
    <w:rsid w:val="0061734D"/>
    <w:rsid w:val="00624A19"/>
    <w:rsid w:val="0063138A"/>
    <w:rsid w:val="006364C7"/>
    <w:rsid w:val="006424F9"/>
    <w:rsid w:val="00646D99"/>
    <w:rsid w:val="00656910"/>
    <w:rsid w:val="006574C0"/>
    <w:rsid w:val="006748FE"/>
    <w:rsid w:val="00696410"/>
    <w:rsid w:val="00696821"/>
    <w:rsid w:val="006B60DB"/>
    <w:rsid w:val="006C66D8"/>
    <w:rsid w:val="006D1E24"/>
    <w:rsid w:val="006D35DE"/>
    <w:rsid w:val="006E06FA"/>
    <w:rsid w:val="006E1057"/>
    <w:rsid w:val="006E1417"/>
    <w:rsid w:val="006E40EA"/>
    <w:rsid w:val="006E6F2B"/>
    <w:rsid w:val="006F6A2C"/>
    <w:rsid w:val="007069DC"/>
    <w:rsid w:val="007078E3"/>
    <w:rsid w:val="00710201"/>
    <w:rsid w:val="00714EB1"/>
    <w:rsid w:val="00716EB3"/>
    <w:rsid w:val="0072073A"/>
    <w:rsid w:val="00726219"/>
    <w:rsid w:val="00727D2F"/>
    <w:rsid w:val="007342B5"/>
    <w:rsid w:val="00734A5B"/>
    <w:rsid w:val="00736B02"/>
    <w:rsid w:val="00744E76"/>
    <w:rsid w:val="007523B9"/>
    <w:rsid w:val="00757D40"/>
    <w:rsid w:val="00761412"/>
    <w:rsid w:val="00764F74"/>
    <w:rsid w:val="007662B5"/>
    <w:rsid w:val="00770002"/>
    <w:rsid w:val="00777125"/>
    <w:rsid w:val="00781F0F"/>
    <w:rsid w:val="00782DF6"/>
    <w:rsid w:val="0078727C"/>
    <w:rsid w:val="0079049D"/>
    <w:rsid w:val="00793DC5"/>
    <w:rsid w:val="007941BC"/>
    <w:rsid w:val="00796823"/>
    <w:rsid w:val="007A2E55"/>
    <w:rsid w:val="007A4D80"/>
    <w:rsid w:val="007B18D8"/>
    <w:rsid w:val="007C095F"/>
    <w:rsid w:val="007C2DD0"/>
    <w:rsid w:val="007D0681"/>
    <w:rsid w:val="007D4C4B"/>
    <w:rsid w:val="007E76C7"/>
    <w:rsid w:val="007F01FE"/>
    <w:rsid w:val="007F2E08"/>
    <w:rsid w:val="007F79AE"/>
    <w:rsid w:val="008024FA"/>
    <w:rsid w:val="008028A4"/>
    <w:rsid w:val="00807776"/>
    <w:rsid w:val="00813245"/>
    <w:rsid w:val="00837AAC"/>
    <w:rsid w:val="00840DE0"/>
    <w:rsid w:val="00847CD0"/>
    <w:rsid w:val="008607A8"/>
    <w:rsid w:val="0086354A"/>
    <w:rsid w:val="008768CA"/>
    <w:rsid w:val="00877EF9"/>
    <w:rsid w:val="00880559"/>
    <w:rsid w:val="00884456"/>
    <w:rsid w:val="008A42D0"/>
    <w:rsid w:val="008A6AF7"/>
    <w:rsid w:val="008B0D94"/>
    <w:rsid w:val="008B5306"/>
    <w:rsid w:val="008B54E8"/>
    <w:rsid w:val="008C0AAC"/>
    <w:rsid w:val="008C2E2A"/>
    <w:rsid w:val="008C3057"/>
    <w:rsid w:val="008D2E4D"/>
    <w:rsid w:val="008E0A20"/>
    <w:rsid w:val="008E0DCB"/>
    <w:rsid w:val="008F396F"/>
    <w:rsid w:val="008F3DCD"/>
    <w:rsid w:val="008F5A84"/>
    <w:rsid w:val="008F7CED"/>
    <w:rsid w:val="00900ADD"/>
    <w:rsid w:val="0090271F"/>
    <w:rsid w:val="00902DB9"/>
    <w:rsid w:val="0090466A"/>
    <w:rsid w:val="00905E5A"/>
    <w:rsid w:val="0091687D"/>
    <w:rsid w:val="00923655"/>
    <w:rsid w:val="009248C6"/>
    <w:rsid w:val="009339CB"/>
    <w:rsid w:val="009358FE"/>
    <w:rsid w:val="00936071"/>
    <w:rsid w:val="009376CD"/>
    <w:rsid w:val="00940212"/>
    <w:rsid w:val="00942EC2"/>
    <w:rsid w:val="00950CB7"/>
    <w:rsid w:val="00955419"/>
    <w:rsid w:val="009604F3"/>
    <w:rsid w:val="00961B32"/>
    <w:rsid w:val="00961B5C"/>
    <w:rsid w:val="00962509"/>
    <w:rsid w:val="00970DB3"/>
    <w:rsid w:val="00974BB0"/>
    <w:rsid w:val="00975BCD"/>
    <w:rsid w:val="009818A2"/>
    <w:rsid w:val="009928A9"/>
    <w:rsid w:val="009A0AF3"/>
    <w:rsid w:val="009A36CD"/>
    <w:rsid w:val="009B07CD"/>
    <w:rsid w:val="009B519B"/>
    <w:rsid w:val="009C19E9"/>
    <w:rsid w:val="009C3D6C"/>
    <w:rsid w:val="009C5553"/>
    <w:rsid w:val="009D354B"/>
    <w:rsid w:val="009D74A6"/>
    <w:rsid w:val="009E0E87"/>
    <w:rsid w:val="009E22E7"/>
    <w:rsid w:val="00A10F02"/>
    <w:rsid w:val="00A17176"/>
    <w:rsid w:val="00A204CA"/>
    <w:rsid w:val="00A209D6"/>
    <w:rsid w:val="00A22738"/>
    <w:rsid w:val="00A22D6C"/>
    <w:rsid w:val="00A2399A"/>
    <w:rsid w:val="00A2449F"/>
    <w:rsid w:val="00A3535B"/>
    <w:rsid w:val="00A36F5F"/>
    <w:rsid w:val="00A36FF2"/>
    <w:rsid w:val="00A430EC"/>
    <w:rsid w:val="00A43210"/>
    <w:rsid w:val="00A471A8"/>
    <w:rsid w:val="00A53724"/>
    <w:rsid w:val="00A54B2B"/>
    <w:rsid w:val="00A54E22"/>
    <w:rsid w:val="00A62379"/>
    <w:rsid w:val="00A63D56"/>
    <w:rsid w:val="00A703B6"/>
    <w:rsid w:val="00A72687"/>
    <w:rsid w:val="00A82346"/>
    <w:rsid w:val="00A94D9E"/>
    <w:rsid w:val="00A9671C"/>
    <w:rsid w:val="00AA0674"/>
    <w:rsid w:val="00AA1553"/>
    <w:rsid w:val="00AB78BC"/>
    <w:rsid w:val="00AC3702"/>
    <w:rsid w:val="00AC68C6"/>
    <w:rsid w:val="00AD0306"/>
    <w:rsid w:val="00AD1CEE"/>
    <w:rsid w:val="00AD51F8"/>
    <w:rsid w:val="00AD7202"/>
    <w:rsid w:val="00AD7E7C"/>
    <w:rsid w:val="00AE50F8"/>
    <w:rsid w:val="00AE54B5"/>
    <w:rsid w:val="00AF1954"/>
    <w:rsid w:val="00AF732D"/>
    <w:rsid w:val="00AF75E1"/>
    <w:rsid w:val="00B0237E"/>
    <w:rsid w:val="00B05380"/>
    <w:rsid w:val="00B05962"/>
    <w:rsid w:val="00B05BD7"/>
    <w:rsid w:val="00B15449"/>
    <w:rsid w:val="00B16C2F"/>
    <w:rsid w:val="00B27303"/>
    <w:rsid w:val="00B334B7"/>
    <w:rsid w:val="00B425B4"/>
    <w:rsid w:val="00B43BBD"/>
    <w:rsid w:val="00B47FD1"/>
    <w:rsid w:val="00B516BB"/>
    <w:rsid w:val="00B56029"/>
    <w:rsid w:val="00B7538C"/>
    <w:rsid w:val="00B80A35"/>
    <w:rsid w:val="00B84DB2"/>
    <w:rsid w:val="00B85063"/>
    <w:rsid w:val="00B91E99"/>
    <w:rsid w:val="00BA36F9"/>
    <w:rsid w:val="00BB1468"/>
    <w:rsid w:val="00BC3555"/>
    <w:rsid w:val="00BC3C5A"/>
    <w:rsid w:val="00BC533A"/>
    <w:rsid w:val="00BD2432"/>
    <w:rsid w:val="00BD308E"/>
    <w:rsid w:val="00BD38A1"/>
    <w:rsid w:val="00BE16B2"/>
    <w:rsid w:val="00BE6A1C"/>
    <w:rsid w:val="00BF109E"/>
    <w:rsid w:val="00BF5D23"/>
    <w:rsid w:val="00C01C5C"/>
    <w:rsid w:val="00C11119"/>
    <w:rsid w:val="00C12B51"/>
    <w:rsid w:val="00C24650"/>
    <w:rsid w:val="00C25465"/>
    <w:rsid w:val="00C33079"/>
    <w:rsid w:val="00C3370F"/>
    <w:rsid w:val="00C55A12"/>
    <w:rsid w:val="00C601C7"/>
    <w:rsid w:val="00C61F65"/>
    <w:rsid w:val="00C6553E"/>
    <w:rsid w:val="00C83A13"/>
    <w:rsid w:val="00C86F10"/>
    <w:rsid w:val="00C9068C"/>
    <w:rsid w:val="00C92967"/>
    <w:rsid w:val="00CA3D0C"/>
    <w:rsid w:val="00CA654B"/>
    <w:rsid w:val="00CB7070"/>
    <w:rsid w:val="00CB72B8"/>
    <w:rsid w:val="00CD0BA8"/>
    <w:rsid w:val="00CD1C71"/>
    <w:rsid w:val="00CD4C7B"/>
    <w:rsid w:val="00CD58FE"/>
    <w:rsid w:val="00CD7F5B"/>
    <w:rsid w:val="00CF3F9E"/>
    <w:rsid w:val="00D0048A"/>
    <w:rsid w:val="00D03334"/>
    <w:rsid w:val="00D21A8C"/>
    <w:rsid w:val="00D27C1D"/>
    <w:rsid w:val="00D33BE3"/>
    <w:rsid w:val="00D3792D"/>
    <w:rsid w:val="00D50096"/>
    <w:rsid w:val="00D52A62"/>
    <w:rsid w:val="00D534B7"/>
    <w:rsid w:val="00D54820"/>
    <w:rsid w:val="00D55E47"/>
    <w:rsid w:val="00D62746"/>
    <w:rsid w:val="00D62E19"/>
    <w:rsid w:val="00D65216"/>
    <w:rsid w:val="00D67CD1"/>
    <w:rsid w:val="00D703C2"/>
    <w:rsid w:val="00D738D6"/>
    <w:rsid w:val="00D80795"/>
    <w:rsid w:val="00D854BE"/>
    <w:rsid w:val="00D87E00"/>
    <w:rsid w:val="00D90CD2"/>
    <w:rsid w:val="00D9134D"/>
    <w:rsid w:val="00D96D11"/>
    <w:rsid w:val="00DA32E5"/>
    <w:rsid w:val="00DA7A03"/>
    <w:rsid w:val="00DB0DB8"/>
    <w:rsid w:val="00DB1818"/>
    <w:rsid w:val="00DB1F6B"/>
    <w:rsid w:val="00DC309B"/>
    <w:rsid w:val="00DC4DA2"/>
    <w:rsid w:val="00DC5261"/>
    <w:rsid w:val="00DC6AB4"/>
    <w:rsid w:val="00DE213F"/>
    <w:rsid w:val="00DE25D2"/>
    <w:rsid w:val="00DF0DC1"/>
    <w:rsid w:val="00DF7C20"/>
    <w:rsid w:val="00E01DB5"/>
    <w:rsid w:val="00E02C81"/>
    <w:rsid w:val="00E02D1D"/>
    <w:rsid w:val="00E038FB"/>
    <w:rsid w:val="00E05F51"/>
    <w:rsid w:val="00E1529D"/>
    <w:rsid w:val="00E23A90"/>
    <w:rsid w:val="00E3658D"/>
    <w:rsid w:val="00E3693D"/>
    <w:rsid w:val="00E42B56"/>
    <w:rsid w:val="00E4524B"/>
    <w:rsid w:val="00E46C08"/>
    <w:rsid w:val="00E471CF"/>
    <w:rsid w:val="00E62835"/>
    <w:rsid w:val="00E6480E"/>
    <w:rsid w:val="00E77645"/>
    <w:rsid w:val="00E83697"/>
    <w:rsid w:val="00E852C6"/>
    <w:rsid w:val="00E859B6"/>
    <w:rsid w:val="00EA2C1D"/>
    <w:rsid w:val="00EA5D1A"/>
    <w:rsid w:val="00EA65A4"/>
    <w:rsid w:val="00EA66C9"/>
    <w:rsid w:val="00EB5D32"/>
    <w:rsid w:val="00EC3814"/>
    <w:rsid w:val="00EC4A25"/>
    <w:rsid w:val="00ED383C"/>
    <w:rsid w:val="00EF612C"/>
    <w:rsid w:val="00F025A2"/>
    <w:rsid w:val="00F036E9"/>
    <w:rsid w:val="00F07235"/>
    <w:rsid w:val="00F07388"/>
    <w:rsid w:val="00F2026E"/>
    <w:rsid w:val="00F2210A"/>
    <w:rsid w:val="00F31372"/>
    <w:rsid w:val="00F32541"/>
    <w:rsid w:val="00F37743"/>
    <w:rsid w:val="00F44E23"/>
    <w:rsid w:val="00F5213C"/>
    <w:rsid w:val="00F532C9"/>
    <w:rsid w:val="00F54A3D"/>
    <w:rsid w:val="00F54CB0"/>
    <w:rsid w:val="00F579CD"/>
    <w:rsid w:val="00F57C7B"/>
    <w:rsid w:val="00F653B8"/>
    <w:rsid w:val="00F71B89"/>
    <w:rsid w:val="00F7353C"/>
    <w:rsid w:val="00F76F8F"/>
    <w:rsid w:val="00F87257"/>
    <w:rsid w:val="00F941DF"/>
    <w:rsid w:val="00F941E5"/>
    <w:rsid w:val="00FA1266"/>
    <w:rsid w:val="00FA4BFC"/>
    <w:rsid w:val="00FA518C"/>
    <w:rsid w:val="00FB186D"/>
    <w:rsid w:val="00FB36FA"/>
    <w:rsid w:val="00FC1192"/>
    <w:rsid w:val="00FC12E9"/>
    <w:rsid w:val="00FC597C"/>
    <w:rsid w:val="00FC6935"/>
    <w:rsid w:val="00FD33FC"/>
    <w:rsid w:val="00FD3E48"/>
    <w:rsid w:val="00FE106D"/>
    <w:rsid w:val="00FE251B"/>
    <w:rsid w:val="00FE408D"/>
    <w:rsid w:val="00FF1A5A"/>
    <w:rsid w:val="00FF30A5"/>
    <w:rsid w:val="00FF48CA"/>
    <w:rsid w:val="0A77A492"/>
    <w:rsid w:val="148AB9CD"/>
    <w:rsid w:val="1F56937D"/>
    <w:rsid w:val="2F49B31F"/>
    <w:rsid w:val="44501D01"/>
    <w:rsid w:val="46A5C3A7"/>
    <w:rsid w:val="4C211EB3"/>
    <w:rsid w:val="5BC7FB36"/>
    <w:rsid w:val="610330F1"/>
    <w:rsid w:val="65CA228C"/>
    <w:rsid w:val="755A865D"/>
    <w:rsid w:val="7E02D7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01DB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9D354B"/>
    <w:rPr>
      <w:rFonts w:ascii="Arial" w:hAnsi="Arial"/>
      <w:sz w:val="32"/>
      <w:lang w:eastAsia="en-US"/>
    </w:rPr>
  </w:style>
  <w:style w:type="table" w:styleId="TableGrid">
    <w:name w:val="Table Grid"/>
    <w:basedOn w:val="TableNormal"/>
    <w:uiPriority w:val="59"/>
    <w:rsid w:val="00151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Bullets,목록 단락,リスト段落,?? ??,?????,????,Lista1,列出段落1,中等深浅网格 1 - 着色 21,¥¡¡¡¡ì¬º¥¹¥È¶ÎÂä,ÁÐ³ö¶ÎÂä,列表段落1,—ño’i—Ž,¥ê¥¹¥È¶ÎÂä,1st level - Bullet List Paragraph,Lettre d'introduction,Paragrafo elenco,Normal bullet 2,Bullet list,목록단락,Lis"/>
    <w:basedOn w:val="Normal"/>
    <w:link w:val="ListParagraphChar"/>
    <w:uiPriority w:val="34"/>
    <w:qFormat/>
    <w:rsid w:val="005B4E15"/>
    <w:pPr>
      <w:ind w:left="720"/>
      <w:contextualSpacing/>
    </w:pPr>
  </w:style>
  <w:style w:type="character" w:customStyle="1" w:styleId="ListParagraphChar">
    <w:name w:val="List Paragraph Char"/>
    <w:aliases w:val="Bullets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locked/>
    <w:rsid w:val="00F44E23"/>
    <w:rPr>
      <w:lang w:eastAsia="en-US"/>
    </w:rPr>
  </w:style>
  <w:style w:type="paragraph" w:customStyle="1" w:styleId="Agreement">
    <w:name w:val="Agreement"/>
    <w:basedOn w:val="Normal"/>
    <w:next w:val="Normal"/>
    <w:uiPriority w:val="99"/>
    <w:qFormat/>
    <w:rsid w:val="00DA32E5"/>
    <w:pPr>
      <w:numPr>
        <w:numId w:val="15"/>
      </w:numPr>
      <w:spacing w:before="60" w:after="0"/>
    </w:pPr>
    <w:rPr>
      <w:rFonts w:ascii="Arial" w:eastAsia="MS Mincho" w:hAnsi="Arial"/>
      <w:b/>
      <w:szCs w:val="24"/>
      <w:lang w:eastAsia="en-GB"/>
    </w:rPr>
  </w:style>
  <w:style w:type="paragraph" w:customStyle="1" w:styleId="paragraph">
    <w:name w:val="paragraph"/>
    <w:basedOn w:val="Normal"/>
    <w:rsid w:val="00FF30A5"/>
    <w:pPr>
      <w:spacing w:before="100" w:beforeAutospacing="1" w:after="100" w:afterAutospacing="1"/>
    </w:pPr>
    <w:rPr>
      <w:rFonts w:eastAsia="Times New Roman"/>
      <w:sz w:val="24"/>
      <w:szCs w:val="24"/>
      <w:lang w:val="en-US"/>
    </w:rPr>
  </w:style>
  <w:style w:type="character" w:customStyle="1" w:styleId="spellingerror">
    <w:name w:val="spellingerror"/>
    <w:basedOn w:val="DefaultParagraphFont"/>
    <w:rsid w:val="00FF30A5"/>
  </w:style>
  <w:style w:type="character" w:customStyle="1" w:styleId="normaltextrun">
    <w:name w:val="normaltextrun"/>
    <w:basedOn w:val="DefaultParagraphFont"/>
    <w:rsid w:val="00FF30A5"/>
  </w:style>
  <w:style w:type="character" w:customStyle="1" w:styleId="eop">
    <w:name w:val="eop"/>
    <w:basedOn w:val="DefaultParagraphFont"/>
    <w:rsid w:val="00FF30A5"/>
  </w:style>
  <w:style w:type="character" w:customStyle="1" w:styleId="contextualspellingandgrammarerror">
    <w:name w:val="contextualspellingandgrammarerror"/>
    <w:basedOn w:val="DefaultParagraphFont"/>
    <w:rsid w:val="00FF30A5"/>
  </w:style>
  <w:style w:type="character" w:customStyle="1" w:styleId="B1Char1">
    <w:name w:val="B1 Char1"/>
    <w:link w:val="B1"/>
    <w:qFormat/>
    <w:rsid w:val="00E1529D"/>
    <w:rPr>
      <w:lang w:eastAsia="en-US"/>
    </w:rPr>
  </w:style>
  <w:style w:type="character" w:customStyle="1" w:styleId="B2Char">
    <w:name w:val="B2 Char"/>
    <w:link w:val="B2"/>
    <w:qFormat/>
    <w:rsid w:val="00E1529D"/>
    <w:rPr>
      <w:lang w:eastAsia="en-US"/>
    </w:rPr>
  </w:style>
  <w:style w:type="character" w:customStyle="1" w:styleId="PLChar">
    <w:name w:val="PL Char"/>
    <w:link w:val="PL"/>
    <w:qFormat/>
    <w:rsid w:val="00E1529D"/>
    <w:rPr>
      <w:rFonts w:ascii="Courier New" w:hAnsi="Courier New"/>
      <w:noProof/>
      <w:sz w:val="16"/>
      <w:lang w:eastAsia="en-US"/>
    </w:rPr>
  </w:style>
  <w:style w:type="character" w:styleId="CommentReference">
    <w:name w:val="annotation reference"/>
    <w:basedOn w:val="DefaultParagraphFont"/>
    <w:rsid w:val="00051E0A"/>
    <w:rPr>
      <w:sz w:val="16"/>
      <w:szCs w:val="16"/>
    </w:rPr>
  </w:style>
  <w:style w:type="paragraph" w:styleId="CommentText">
    <w:name w:val="annotation text"/>
    <w:basedOn w:val="Normal"/>
    <w:link w:val="CommentTextChar"/>
    <w:rsid w:val="00051E0A"/>
  </w:style>
  <w:style w:type="character" w:customStyle="1" w:styleId="CommentTextChar">
    <w:name w:val="Comment Text Char"/>
    <w:basedOn w:val="DefaultParagraphFont"/>
    <w:link w:val="CommentText"/>
    <w:rsid w:val="00051E0A"/>
    <w:rPr>
      <w:lang w:eastAsia="en-US"/>
    </w:rPr>
  </w:style>
  <w:style w:type="paragraph" w:styleId="Revision">
    <w:name w:val="Revision"/>
    <w:hidden/>
    <w:uiPriority w:val="99"/>
    <w:semiHidden/>
    <w:rsid w:val="00AC68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925">
      <w:bodyDiv w:val="1"/>
      <w:marLeft w:val="0"/>
      <w:marRight w:val="0"/>
      <w:marTop w:val="0"/>
      <w:marBottom w:val="0"/>
      <w:divBdr>
        <w:top w:val="none" w:sz="0" w:space="0" w:color="auto"/>
        <w:left w:val="none" w:sz="0" w:space="0" w:color="auto"/>
        <w:bottom w:val="none" w:sz="0" w:space="0" w:color="auto"/>
        <w:right w:val="none" w:sz="0" w:space="0" w:color="auto"/>
      </w:divBdr>
    </w:div>
    <w:div w:id="199244329">
      <w:bodyDiv w:val="1"/>
      <w:marLeft w:val="0"/>
      <w:marRight w:val="0"/>
      <w:marTop w:val="0"/>
      <w:marBottom w:val="0"/>
      <w:divBdr>
        <w:top w:val="none" w:sz="0" w:space="0" w:color="auto"/>
        <w:left w:val="none" w:sz="0" w:space="0" w:color="auto"/>
        <w:bottom w:val="none" w:sz="0" w:space="0" w:color="auto"/>
        <w:right w:val="none" w:sz="0" w:space="0" w:color="auto"/>
      </w:divBdr>
    </w:div>
    <w:div w:id="314264463">
      <w:bodyDiv w:val="1"/>
      <w:marLeft w:val="0"/>
      <w:marRight w:val="0"/>
      <w:marTop w:val="0"/>
      <w:marBottom w:val="0"/>
      <w:divBdr>
        <w:top w:val="none" w:sz="0" w:space="0" w:color="auto"/>
        <w:left w:val="none" w:sz="0" w:space="0" w:color="auto"/>
        <w:bottom w:val="none" w:sz="0" w:space="0" w:color="auto"/>
        <w:right w:val="none" w:sz="0" w:space="0" w:color="auto"/>
      </w:divBdr>
    </w:div>
    <w:div w:id="841748945">
      <w:bodyDiv w:val="1"/>
      <w:marLeft w:val="0"/>
      <w:marRight w:val="0"/>
      <w:marTop w:val="0"/>
      <w:marBottom w:val="0"/>
      <w:divBdr>
        <w:top w:val="none" w:sz="0" w:space="0" w:color="auto"/>
        <w:left w:val="none" w:sz="0" w:space="0" w:color="auto"/>
        <w:bottom w:val="none" w:sz="0" w:space="0" w:color="auto"/>
        <w:right w:val="none" w:sz="0" w:space="0" w:color="auto"/>
      </w:divBdr>
      <w:divsChild>
        <w:div w:id="1501123267">
          <w:marLeft w:val="749"/>
          <w:marRight w:val="0"/>
          <w:marTop w:val="0"/>
          <w:marBottom w:val="1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21079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40522531">
      <w:bodyDiv w:val="1"/>
      <w:marLeft w:val="0"/>
      <w:marRight w:val="0"/>
      <w:marTop w:val="0"/>
      <w:marBottom w:val="0"/>
      <w:divBdr>
        <w:top w:val="none" w:sz="0" w:space="0" w:color="auto"/>
        <w:left w:val="none" w:sz="0" w:space="0" w:color="auto"/>
        <w:bottom w:val="none" w:sz="0" w:space="0" w:color="auto"/>
        <w:right w:val="none" w:sz="0" w:space="0" w:color="auto"/>
      </w:divBdr>
    </w:div>
    <w:div w:id="1994479223">
      <w:bodyDiv w:val="1"/>
      <w:marLeft w:val="0"/>
      <w:marRight w:val="0"/>
      <w:marTop w:val="0"/>
      <w:marBottom w:val="0"/>
      <w:divBdr>
        <w:top w:val="none" w:sz="0" w:space="0" w:color="auto"/>
        <w:left w:val="none" w:sz="0" w:space="0" w:color="auto"/>
        <w:bottom w:val="none" w:sz="0" w:space="0" w:color="auto"/>
        <w:right w:val="none" w:sz="0" w:space="0" w:color="auto"/>
      </w:divBdr>
    </w:div>
    <w:div w:id="200293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gpp.org/ftp/tsg_ran/WG3_Iu/TSGR3_121/Docs/R3-23475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2023-09-29T09:45:00Z</dcterms:created>
  <dcterms:modified xsi:type="dcterms:W3CDTF">2023-09-29T09:45:00Z</dcterms:modified>
  <cp:category/>
</cp:coreProperties>
</file>